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p>
    <w:p w:rsidR="00970740" w:rsidRPr="005107ED" w:rsidRDefault="00970740" w:rsidP="00E23749">
      <w:pPr>
        <w:pStyle w:val="Title"/>
        <w:jc w:val="center"/>
        <w:rPr>
          <w:rFonts w:asciiTheme="minorHAnsi" w:hAnsiTheme="minorHAnsi" w:cstheme="minorHAnsi"/>
        </w:rPr>
      </w:pPr>
      <w:r w:rsidRPr="005107ED">
        <w:rPr>
          <w:rFonts w:asciiTheme="minorHAnsi" w:hAnsiTheme="minorHAnsi" w:cstheme="minorHAnsi"/>
        </w:rPr>
        <w:t>Center for Ethics</w:t>
      </w:r>
    </w:p>
    <w:p w:rsidR="00970740" w:rsidRPr="005107ED" w:rsidRDefault="001C264A" w:rsidP="00E23749">
      <w:pPr>
        <w:pStyle w:val="Title"/>
        <w:jc w:val="center"/>
        <w:rPr>
          <w:rFonts w:asciiTheme="minorHAnsi" w:hAnsiTheme="minorHAnsi" w:cstheme="minorHAnsi"/>
        </w:rPr>
      </w:pPr>
      <w:r w:rsidRPr="005107ED">
        <w:rPr>
          <w:rFonts w:asciiTheme="minorHAnsi" w:hAnsiTheme="minorHAnsi" w:cstheme="minorHAnsi"/>
        </w:rPr>
        <w:t xml:space="preserve">Annual </w:t>
      </w:r>
      <w:r w:rsidR="00970740" w:rsidRPr="005107ED">
        <w:rPr>
          <w:rFonts w:asciiTheme="minorHAnsi" w:hAnsiTheme="minorHAnsi" w:cstheme="minorHAnsi"/>
        </w:rPr>
        <w:t>Report to Advisory Council</w:t>
      </w:r>
    </w:p>
    <w:p w:rsidR="00970740" w:rsidRPr="005107ED" w:rsidRDefault="00D654D7" w:rsidP="00E23749">
      <w:pPr>
        <w:pStyle w:val="Title"/>
        <w:jc w:val="center"/>
        <w:rPr>
          <w:rFonts w:asciiTheme="minorHAnsi" w:hAnsiTheme="minorHAnsi" w:cstheme="minorHAnsi"/>
        </w:rPr>
      </w:pPr>
      <w:r w:rsidRPr="005107ED">
        <w:rPr>
          <w:rFonts w:asciiTheme="minorHAnsi" w:hAnsiTheme="minorHAnsi" w:cstheme="minorHAnsi"/>
        </w:rPr>
        <w:t>Spring 2020</w:t>
      </w:r>
    </w:p>
    <w:p w:rsidR="00970740" w:rsidRPr="005107ED" w:rsidRDefault="00970740" w:rsidP="004B2FF5">
      <w:pPr>
        <w:spacing w:line="240" w:lineRule="auto"/>
        <w:contextualSpacing/>
        <w:jc w:val="center"/>
        <w:rPr>
          <w:rFonts w:cstheme="minorHAnsi"/>
          <w:sz w:val="24"/>
          <w:szCs w:val="24"/>
        </w:rPr>
      </w:pPr>
    </w:p>
    <w:p w:rsidR="000A3337" w:rsidRPr="005107ED" w:rsidRDefault="000A3337" w:rsidP="004B2FF5">
      <w:pPr>
        <w:spacing w:line="240" w:lineRule="auto"/>
        <w:contextualSpacing/>
        <w:jc w:val="center"/>
        <w:rPr>
          <w:rFonts w:cstheme="minorHAnsi"/>
          <w:sz w:val="24"/>
          <w:szCs w:val="24"/>
        </w:rPr>
      </w:pPr>
    </w:p>
    <w:p w:rsidR="00970740" w:rsidRPr="005107ED" w:rsidRDefault="00970740" w:rsidP="004B2FF5">
      <w:pPr>
        <w:spacing w:line="240" w:lineRule="auto"/>
        <w:contextualSpacing/>
        <w:jc w:val="center"/>
        <w:rPr>
          <w:rFonts w:cstheme="minorHAnsi"/>
          <w:sz w:val="24"/>
          <w:szCs w:val="24"/>
        </w:rPr>
      </w:pPr>
      <w:r w:rsidRPr="005107ED">
        <w:rPr>
          <w:rFonts w:cstheme="minorHAnsi"/>
          <w:sz w:val="24"/>
          <w:szCs w:val="24"/>
        </w:rPr>
        <w:t>Prepared by Elizabeth Whiting Pierce</w:t>
      </w:r>
    </w:p>
    <w:p w:rsidR="00970740" w:rsidRPr="005107ED" w:rsidRDefault="00970740" w:rsidP="004B2FF5">
      <w:pPr>
        <w:spacing w:line="240" w:lineRule="auto"/>
        <w:contextualSpacing/>
        <w:rPr>
          <w:rFonts w:cstheme="minorHAnsi"/>
          <w:sz w:val="24"/>
          <w:szCs w:val="24"/>
        </w:rPr>
      </w:pPr>
      <w:r w:rsidRPr="005107ED">
        <w:rPr>
          <w:rFonts w:cstheme="minorHAnsi"/>
          <w:sz w:val="24"/>
          <w:szCs w:val="24"/>
        </w:rPr>
        <w:br w:type="page"/>
      </w:r>
    </w:p>
    <w:p w:rsidR="006C5AF2" w:rsidRPr="005107ED" w:rsidRDefault="00970740" w:rsidP="006209E7">
      <w:pPr>
        <w:spacing w:line="240" w:lineRule="auto"/>
        <w:contextualSpacing/>
        <w:rPr>
          <w:rFonts w:cstheme="minorHAnsi"/>
          <w:sz w:val="56"/>
          <w:szCs w:val="56"/>
        </w:rPr>
      </w:pPr>
      <w:r w:rsidRPr="005107ED">
        <w:rPr>
          <w:rFonts w:cstheme="minorHAnsi"/>
          <w:sz w:val="56"/>
          <w:szCs w:val="56"/>
        </w:rPr>
        <w:lastRenderedPageBreak/>
        <w:t>Contents</w:t>
      </w:r>
    </w:p>
    <w:p w:rsidR="006209E7" w:rsidRPr="005107ED" w:rsidRDefault="006209E7" w:rsidP="004B2FF5">
      <w:pPr>
        <w:spacing w:line="240" w:lineRule="auto"/>
        <w:contextualSpacing/>
        <w:rPr>
          <w:rFonts w:cstheme="minorHAnsi"/>
          <w:sz w:val="24"/>
          <w:szCs w:val="24"/>
        </w:rPr>
      </w:pPr>
      <w:r w:rsidRPr="005107ED">
        <w:rPr>
          <w:rFonts w:cstheme="minorHAnsi"/>
          <w:sz w:val="24"/>
          <w:szCs w:val="24"/>
        </w:rPr>
        <w:t>Letter from the Director</w:t>
      </w:r>
      <w:r w:rsidR="00C70927">
        <w:rPr>
          <w:rFonts w:cstheme="minorHAnsi"/>
          <w:sz w:val="24"/>
          <w:szCs w:val="24"/>
        </w:rPr>
        <w:t>, p.3</w:t>
      </w:r>
    </w:p>
    <w:p w:rsidR="007516E6" w:rsidRPr="005107ED" w:rsidRDefault="007516E6" w:rsidP="004B2FF5">
      <w:pPr>
        <w:spacing w:line="240" w:lineRule="auto"/>
        <w:contextualSpacing/>
        <w:rPr>
          <w:rFonts w:cstheme="minorHAnsi"/>
          <w:sz w:val="24"/>
          <w:szCs w:val="24"/>
        </w:rPr>
      </w:pPr>
      <w:r w:rsidRPr="005107ED">
        <w:rPr>
          <w:rFonts w:cstheme="minorHAnsi"/>
          <w:sz w:val="24"/>
          <w:szCs w:val="24"/>
        </w:rPr>
        <w:t>Mission and Vision</w:t>
      </w:r>
      <w:r w:rsidR="00C70927">
        <w:rPr>
          <w:rFonts w:cstheme="minorHAnsi"/>
          <w:sz w:val="24"/>
          <w:szCs w:val="24"/>
        </w:rPr>
        <w:t>, p.4</w:t>
      </w:r>
    </w:p>
    <w:p w:rsidR="007516E6" w:rsidRPr="005107ED" w:rsidRDefault="007516E6" w:rsidP="004B2FF5">
      <w:pPr>
        <w:spacing w:line="240" w:lineRule="auto"/>
        <w:contextualSpacing/>
        <w:rPr>
          <w:rFonts w:cstheme="minorHAnsi"/>
          <w:sz w:val="24"/>
          <w:szCs w:val="24"/>
        </w:rPr>
      </w:pPr>
      <w:r w:rsidRPr="005107ED">
        <w:rPr>
          <w:rFonts w:cstheme="minorHAnsi"/>
          <w:sz w:val="24"/>
          <w:szCs w:val="24"/>
        </w:rPr>
        <w:t>Activities and Accomplishments</w:t>
      </w:r>
      <w:r w:rsidR="00C70927">
        <w:rPr>
          <w:rFonts w:cstheme="minorHAnsi"/>
          <w:sz w:val="24"/>
          <w:szCs w:val="24"/>
        </w:rPr>
        <w:t>, p. 5-6</w:t>
      </w:r>
    </w:p>
    <w:p w:rsidR="009C39B7" w:rsidRPr="005107ED" w:rsidRDefault="009C39B7" w:rsidP="004B2FF5">
      <w:pPr>
        <w:spacing w:line="240" w:lineRule="auto"/>
        <w:contextualSpacing/>
        <w:rPr>
          <w:rFonts w:cstheme="minorHAnsi"/>
          <w:sz w:val="24"/>
          <w:szCs w:val="24"/>
        </w:rPr>
      </w:pPr>
    </w:p>
    <w:p w:rsidR="00970740" w:rsidRPr="005107ED" w:rsidRDefault="006C5AF2" w:rsidP="004B2FF5">
      <w:pPr>
        <w:spacing w:line="240" w:lineRule="auto"/>
        <w:contextualSpacing/>
        <w:jc w:val="center"/>
        <w:rPr>
          <w:rFonts w:cstheme="minorHAnsi"/>
          <w:sz w:val="24"/>
          <w:szCs w:val="24"/>
        </w:rPr>
      </w:pPr>
      <w:r w:rsidRPr="005107ED">
        <w:rPr>
          <w:rFonts w:cstheme="minorHAnsi"/>
          <w:sz w:val="24"/>
          <w:szCs w:val="24"/>
        </w:rPr>
        <w:br w:type="page"/>
      </w:r>
    </w:p>
    <w:p w:rsidR="001B0598" w:rsidRPr="005107ED" w:rsidRDefault="001B0598" w:rsidP="001B0598">
      <w:pPr>
        <w:pStyle w:val="Title"/>
        <w:rPr>
          <w:rFonts w:asciiTheme="minorHAnsi" w:hAnsiTheme="minorHAnsi" w:cstheme="minorHAnsi"/>
          <w:sz w:val="24"/>
          <w:szCs w:val="24"/>
        </w:rPr>
      </w:pPr>
      <w:r w:rsidRPr="005107ED">
        <w:rPr>
          <w:rFonts w:asciiTheme="minorHAnsi" w:hAnsiTheme="minorHAnsi" w:cstheme="minorHAnsi"/>
        </w:rPr>
        <w:t>Letter from the Director</w:t>
      </w:r>
    </w:p>
    <w:p w:rsidR="001B0598" w:rsidRPr="005107ED" w:rsidRDefault="001B0598" w:rsidP="001B0598">
      <w:pPr>
        <w:pStyle w:val="Title"/>
        <w:rPr>
          <w:rFonts w:asciiTheme="minorHAnsi" w:hAnsiTheme="minorHAnsi" w:cstheme="minorHAnsi"/>
          <w:sz w:val="24"/>
          <w:szCs w:val="24"/>
        </w:rPr>
      </w:pPr>
    </w:p>
    <w:p w:rsidR="00D654D7" w:rsidRPr="00F658D3" w:rsidRDefault="007959B5" w:rsidP="00B12E25">
      <w:pPr>
        <w:pStyle w:val="Title"/>
        <w:rPr>
          <w:rFonts w:asciiTheme="minorHAnsi" w:hAnsiTheme="minorHAnsi" w:cstheme="minorHAnsi"/>
          <w:sz w:val="24"/>
          <w:szCs w:val="24"/>
        </w:rPr>
      </w:pPr>
      <w:r>
        <w:rPr>
          <w:rFonts w:asciiTheme="minorHAnsi" w:hAnsiTheme="minorHAnsi" w:cstheme="minorHAnsi"/>
          <w:sz w:val="24"/>
          <w:szCs w:val="24"/>
        </w:rPr>
        <w:t>May 20</w:t>
      </w:r>
      <w:r w:rsidR="00D654D7" w:rsidRPr="00F658D3">
        <w:rPr>
          <w:rFonts w:asciiTheme="minorHAnsi" w:hAnsiTheme="minorHAnsi" w:cstheme="minorHAnsi"/>
          <w:sz w:val="24"/>
          <w:szCs w:val="24"/>
        </w:rPr>
        <w:t>, 2020</w:t>
      </w:r>
    </w:p>
    <w:p w:rsidR="00B12E25" w:rsidRDefault="00B12E25" w:rsidP="00F658D3">
      <w:pPr>
        <w:pStyle w:val="Title"/>
        <w:rPr>
          <w:rFonts w:asciiTheme="minorHAnsi" w:hAnsiTheme="minorHAnsi" w:cstheme="minorHAnsi"/>
          <w:sz w:val="24"/>
          <w:szCs w:val="24"/>
        </w:rPr>
      </w:pPr>
    </w:p>
    <w:p w:rsidR="00D654D7" w:rsidRPr="00F658D3" w:rsidRDefault="001B0598" w:rsidP="00F658D3">
      <w:pPr>
        <w:pStyle w:val="Title"/>
        <w:rPr>
          <w:rFonts w:asciiTheme="minorHAnsi" w:hAnsiTheme="minorHAnsi" w:cstheme="minorHAnsi"/>
          <w:sz w:val="24"/>
          <w:szCs w:val="24"/>
        </w:rPr>
      </w:pPr>
      <w:r w:rsidRPr="00F658D3">
        <w:rPr>
          <w:rFonts w:asciiTheme="minorHAnsi" w:hAnsiTheme="minorHAnsi" w:cstheme="minorHAnsi"/>
          <w:sz w:val="24"/>
          <w:szCs w:val="24"/>
        </w:rPr>
        <w:t>Dear Advisory Council,</w:t>
      </w:r>
    </w:p>
    <w:p w:rsidR="00D654D7" w:rsidRPr="00F658D3" w:rsidRDefault="00D654D7" w:rsidP="00F658D3">
      <w:pPr>
        <w:spacing w:line="240" w:lineRule="auto"/>
        <w:contextualSpacing/>
        <w:rPr>
          <w:rFonts w:cstheme="minorHAnsi"/>
          <w:sz w:val="24"/>
          <w:szCs w:val="24"/>
        </w:rPr>
      </w:pPr>
    </w:p>
    <w:p w:rsidR="00E47600" w:rsidRPr="00F658D3" w:rsidRDefault="00E47600" w:rsidP="00F658D3">
      <w:pPr>
        <w:spacing w:line="240" w:lineRule="auto"/>
        <w:contextualSpacing/>
        <w:rPr>
          <w:rFonts w:cstheme="minorHAnsi"/>
          <w:sz w:val="24"/>
          <w:szCs w:val="24"/>
        </w:rPr>
      </w:pPr>
      <w:r w:rsidRPr="00F658D3">
        <w:rPr>
          <w:rFonts w:cstheme="minorHAnsi"/>
          <w:sz w:val="24"/>
          <w:szCs w:val="24"/>
        </w:rPr>
        <w:t>I hope you and yours are well!</w:t>
      </w:r>
    </w:p>
    <w:p w:rsidR="00E47600" w:rsidRPr="00F658D3" w:rsidRDefault="00E47600" w:rsidP="00F658D3">
      <w:pPr>
        <w:spacing w:line="240" w:lineRule="auto"/>
        <w:contextualSpacing/>
        <w:rPr>
          <w:rFonts w:cstheme="minorHAnsi"/>
          <w:sz w:val="24"/>
          <w:szCs w:val="24"/>
        </w:rPr>
      </w:pPr>
    </w:p>
    <w:p w:rsidR="00D654D7" w:rsidRPr="00F658D3" w:rsidRDefault="00422C2A" w:rsidP="00F658D3">
      <w:pPr>
        <w:spacing w:line="240" w:lineRule="auto"/>
        <w:contextualSpacing/>
        <w:rPr>
          <w:rFonts w:cstheme="minorHAnsi"/>
          <w:sz w:val="24"/>
          <w:szCs w:val="24"/>
        </w:rPr>
      </w:pPr>
      <w:r w:rsidRPr="00F658D3">
        <w:rPr>
          <w:rFonts w:cstheme="minorHAnsi"/>
          <w:sz w:val="24"/>
          <w:szCs w:val="24"/>
        </w:rPr>
        <w:t xml:space="preserve">The </w:t>
      </w:r>
      <w:r w:rsidR="007959B5">
        <w:rPr>
          <w:rFonts w:cstheme="minorHAnsi"/>
          <w:sz w:val="24"/>
          <w:szCs w:val="24"/>
        </w:rPr>
        <w:t xml:space="preserve">pages below </w:t>
      </w:r>
      <w:r w:rsidR="00D654D7" w:rsidRPr="00F658D3">
        <w:rPr>
          <w:rFonts w:cstheme="minorHAnsi"/>
          <w:sz w:val="24"/>
          <w:szCs w:val="24"/>
        </w:rPr>
        <w:t>provide</w:t>
      </w:r>
      <w:r w:rsidR="00E47600" w:rsidRPr="00F658D3">
        <w:rPr>
          <w:rFonts w:cstheme="minorHAnsi"/>
          <w:sz w:val="24"/>
          <w:szCs w:val="24"/>
        </w:rPr>
        <w:t xml:space="preserve"> a summary of the Center for Ethics’</w:t>
      </w:r>
      <w:r w:rsidR="00D654D7" w:rsidRPr="00F658D3">
        <w:rPr>
          <w:rFonts w:cstheme="minorHAnsi"/>
          <w:sz w:val="24"/>
          <w:szCs w:val="24"/>
        </w:rPr>
        <w:t xml:space="preserve"> work</w:t>
      </w:r>
      <w:r w:rsidR="00E47600" w:rsidRPr="00F658D3">
        <w:rPr>
          <w:rFonts w:cstheme="minorHAnsi"/>
          <w:sz w:val="24"/>
          <w:szCs w:val="24"/>
        </w:rPr>
        <w:t xml:space="preserve"> this year</w:t>
      </w:r>
      <w:r w:rsidR="00D654D7" w:rsidRPr="00F658D3">
        <w:rPr>
          <w:rFonts w:cstheme="minorHAnsi"/>
          <w:sz w:val="24"/>
          <w:szCs w:val="24"/>
        </w:rPr>
        <w:t xml:space="preserve">. It has been a fruitful year, despite the pandemic! </w:t>
      </w:r>
      <w:r w:rsidRPr="00F658D3">
        <w:rPr>
          <w:rFonts w:cstheme="minorHAnsi"/>
          <w:sz w:val="24"/>
          <w:szCs w:val="24"/>
        </w:rPr>
        <w:t xml:space="preserve">In partnership with the Cothran </w:t>
      </w:r>
      <w:r w:rsidR="001B46A0">
        <w:rPr>
          <w:rFonts w:cstheme="minorHAnsi"/>
          <w:sz w:val="24"/>
          <w:szCs w:val="24"/>
        </w:rPr>
        <w:t xml:space="preserve">Career </w:t>
      </w:r>
      <w:bookmarkStart w:id="0" w:name="_GoBack"/>
      <w:bookmarkEnd w:id="0"/>
      <w:r w:rsidRPr="00F658D3">
        <w:rPr>
          <w:rFonts w:cstheme="minorHAnsi"/>
          <w:sz w:val="24"/>
          <w:szCs w:val="24"/>
        </w:rPr>
        <w:t xml:space="preserve">Center, a team of instructors overhauled GE112 (a required ethics course for </w:t>
      </w:r>
      <w:r w:rsidR="00E47600" w:rsidRPr="00F658D3">
        <w:rPr>
          <w:rFonts w:cstheme="minorHAnsi"/>
          <w:sz w:val="24"/>
          <w:szCs w:val="24"/>
        </w:rPr>
        <w:t>all first year students). F</w:t>
      </w:r>
      <w:r w:rsidRPr="00F658D3">
        <w:rPr>
          <w:rFonts w:cstheme="minorHAnsi"/>
          <w:sz w:val="24"/>
          <w:szCs w:val="24"/>
        </w:rPr>
        <w:t xml:space="preserve">ormerly called “Ethical Reasoning,” </w:t>
      </w:r>
      <w:r w:rsidR="00E47600" w:rsidRPr="00F658D3">
        <w:rPr>
          <w:rFonts w:cstheme="minorHAnsi"/>
          <w:sz w:val="24"/>
          <w:szCs w:val="24"/>
        </w:rPr>
        <w:t xml:space="preserve">GE112 </w:t>
      </w:r>
      <w:r w:rsidRPr="00F658D3">
        <w:rPr>
          <w:rFonts w:cstheme="minorHAnsi"/>
          <w:sz w:val="24"/>
          <w:szCs w:val="24"/>
        </w:rPr>
        <w:t>has been renamed “Profession and Purpose.” The course now focuses on a set of ethical and practical questions students feel anxious to answer: 1) what kind of career will allow me to live a good, purposeful life, and 2) how do I build that kind of career? Also, for the first time, four students enrolled in and received academic credit for the course “Ethics Bowl.” Last, but not lea</w:t>
      </w:r>
      <w:r w:rsidR="00F658D3" w:rsidRPr="00F658D3">
        <w:rPr>
          <w:rFonts w:cstheme="minorHAnsi"/>
          <w:sz w:val="24"/>
          <w:szCs w:val="24"/>
        </w:rPr>
        <w:t>st, the Center for Ethics organized</w:t>
      </w:r>
      <w:r w:rsidRPr="00F658D3">
        <w:rPr>
          <w:rFonts w:cstheme="minorHAnsi"/>
          <w:sz w:val="24"/>
          <w:szCs w:val="24"/>
        </w:rPr>
        <w:t xml:space="preserve"> the Diversity, Civility, and Liberal Arts Initiative at MHU. </w:t>
      </w:r>
    </w:p>
    <w:p w:rsidR="00E47600" w:rsidRPr="00F658D3" w:rsidRDefault="00E47600" w:rsidP="00F658D3">
      <w:pPr>
        <w:spacing w:line="240" w:lineRule="auto"/>
        <w:contextualSpacing/>
        <w:rPr>
          <w:rFonts w:cstheme="minorHAnsi"/>
          <w:sz w:val="24"/>
          <w:szCs w:val="24"/>
        </w:rPr>
      </w:pPr>
    </w:p>
    <w:p w:rsidR="00E47600" w:rsidRPr="00F658D3" w:rsidRDefault="00E47600" w:rsidP="00F658D3">
      <w:pPr>
        <w:spacing w:line="240" w:lineRule="auto"/>
        <w:contextualSpacing/>
        <w:rPr>
          <w:rFonts w:cstheme="minorHAnsi"/>
          <w:sz w:val="24"/>
          <w:szCs w:val="24"/>
        </w:rPr>
      </w:pPr>
      <w:r w:rsidRPr="00F658D3">
        <w:rPr>
          <w:rFonts w:cstheme="minorHAnsi"/>
          <w:sz w:val="24"/>
          <w:szCs w:val="24"/>
        </w:rPr>
        <w:t xml:space="preserve">It has been a tremendous pleasure working with you over the past three years. So, it is bittersweet to inform you that this will be my last letter to the Mars Hill Center for Ethics Advisory Council. I have accepted a position in Winston-Salem, NC, which will enable me to live full time with my spouse who works in Iredell County, NC. While MHU may or may not appoint another CFE director, two leaders have stepped up to oversee two of the CFE’s main programs. Jonathan Rose, Assistant Professor of Political Science, will coordinate the GE112 Program. Ryan Bell, Director of First Year Academic Success and Advising, will coach the Ethics Bowl Team. </w:t>
      </w:r>
    </w:p>
    <w:p w:rsidR="00E47600" w:rsidRPr="00F658D3" w:rsidRDefault="00E47600" w:rsidP="00F658D3">
      <w:pPr>
        <w:spacing w:line="240" w:lineRule="auto"/>
        <w:contextualSpacing/>
        <w:rPr>
          <w:rFonts w:cstheme="minorHAnsi"/>
          <w:sz w:val="24"/>
          <w:szCs w:val="24"/>
        </w:rPr>
      </w:pPr>
    </w:p>
    <w:p w:rsidR="002C70BD" w:rsidRPr="00F658D3" w:rsidRDefault="00D654D7" w:rsidP="00F658D3">
      <w:pPr>
        <w:pStyle w:val="Title"/>
        <w:rPr>
          <w:rFonts w:asciiTheme="minorHAnsi" w:hAnsiTheme="minorHAnsi" w:cstheme="minorHAnsi"/>
          <w:sz w:val="24"/>
          <w:szCs w:val="24"/>
        </w:rPr>
      </w:pPr>
      <w:r w:rsidRPr="00F658D3">
        <w:rPr>
          <w:rFonts w:asciiTheme="minorHAnsi" w:hAnsiTheme="minorHAnsi" w:cstheme="minorHAnsi"/>
          <w:sz w:val="24"/>
          <w:szCs w:val="24"/>
        </w:rPr>
        <w:t xml:space="preserve">Many thanks for your service to and love for MHU. </w:t>
      </w:r>
    </w:p>
    <w:p w:rsidR="00D654D7" w:rsidRPr="00F658D3" w:rsidRDefault="00D654D7" w:rsidP="00F658D3">
      <w:pPr>
        <w:spacing w:line="240" w:lineRule="auto"/>
        <w:contextualSpacing/>
        <w:rPr>
          <w:rFonts w:cstheme="minorHAnsi"/>
          <w:sz w:val="24"/>
          <w:szCs w:val="24"/>
        </w:rPr>
      </w:pPr>
    </w:p>
    <w:p w:rsidR="002C70BD" w:rsidRPr="00F658D3" w:rsidRDefault="005E3244" w:rsidP="00F658D3">
      <w:pPr>
        <w:spacing w:line="240" w:lineRule="auto"/>
        <w:contextualSpacing/>
        <w:rPr>
          <w:rFonts w:cstheme="minorHAnsi"/>
          <w:sz w:val="24"/>
          <w:szCs w:val="24"/>
        </w:rPr>
      </w:pPr>
      <w:r w:rsidRPr="00F658D3">
        <w:rPr>
          <w:rFonts w:cstheme="minorHAnsi"/>
          <w:noProof/>
          <w:sz w:val="24"/>
          <w:szCs w:val="24"/>
        </w:rPr>
        <w:drawing>
          <wp:inline distT="0" distB="0" distL="0" distR="0" wp14:anchorId="2C056DD8" wp14:editId="6753B49C">
            <wp:extent cx="2390775" cy="580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565" cy="624395"/>
                    </a:xfrm>
                    <a:prstGeom prst="rect">
                      <a:avLst/>
                    </a:prstGeom>
                    <a:noFill/>
                  </pic:spPr>
                </pic:pic>
              </a:graphicData>
            </a:graphic>
          </wp:inline>
        </w:drawing>
      </w:r>
    </w:p>
    <w:p w:rsidR="001B0598" w:rsidRPr="005107ED" w:rsidRDefault="002C70BD" w:rsidP="00F658D3">
      <w:pPr>
        <w:pStyle w:val="Title"/>
        <w:rPr>
          <w:rFonts w:asciiTheme="minorHAnsi" w:hAnsiTheme="minorHAnsi" w:cstheme="minorHAnsi"/>
          <w:sz w:val="24"/>
          <w:szCs w:val="24"/>
        </w:rPr>
      </w:pPr>
      <w:r w:rsidRPr="00F658D3">
        <w:rPr>
          <w:rFonts w:asciiTheme="minorHAnsi" w:hAnsiTheme="minorHAnsi" w:cstheme="minorHAnsi"/>
          <w:sz w:val="24"/>
          <w:szCs w:val="24"/>
        </w:rPr>
        <w:t>Elizabeth Whiting Pierce, Ph.D.</w:t>
      </w:r>
      <w:r w:rsidR="001B0598" w:rsidRPr="005107ED">
        <w:rPr>
          <w:rFonts w:asciiTheme="minorHAnsi" w:hAnsiTheme="minorHAnsi" w:cstheme="minorHAnsi"/>
        </w:rPr>
        <w:br w:type="page"/>
      </w:r>
    </w:p>
    <w:p w:rsidR="001765F9" w:rsidRPr="005107ED" w:rsidRDefault="006C5AF2" w:rsidP="004B2FF5">
      <w:pPr>
        <w:pStyle w:val="Title"/>
        <w:rPr>
          <w:rFonts w:asciiTheme="minorHAnsi" w:hAnsiTheme="minorHAnsi" w:cstheme="minorHAnsi"/>
        </w:rPr>
      </w:pPr>
      <w:r w:rsidRPr="005107ED">
        <w:rPr>
          <w:rFonts w:asciiTheme="minorHAnsi" w:hAnsiTheme="minorHAnsi" w:cstheme="minorHAnsi"/>
        </w:rPr>
        <w:t xml:space="preserve">CFE Mission and </w:t>
      </w:r>
      <w:r w:rsidR="007A4896" w:rsidRPr="005107ED">
        <w:rPr>
          <w:rFonts w:asciiTheme="minorHAnsi" w:hAnsiTheme="minorHAnsi" w:cstheme="minorHAnsi"/>
        </w:rPr>
        <w:t>Vision</w:t>
      </w:r>
      <w:r w:rsidR="00BF1BA1" w:rsidRPr="005107ED">
        <w:rPr>
          <w:rFonts w:asciiTheme="minorHAnsi" w:hAnsiTheme="minorHAnsi" w:cstheme="minorHAnsi"/>
        </w:rPr>
        <w:t xml:space="preserve"> </w:t>
      </w:r>
    </w:p>
    <w:p w:rsidR="000A3337" w:rsidRPr="005107ED" w:rsidRDefault="000A3337" w:rsidP="004B2FF5">
      <w:pPr>
        <w:pStyle w:val="Title"/>
        <w:rPr>
          <w:rFonts w:asciiTheme="minorHAnsi" w:hAnsiTheme="minorHAnsi" w:cstheme="minorHAnsi"/>
          <w:b/>
          <w:sz w:val="24"/>
          <w:szCs w:val="24"/>
        </w:rPr>
      </w:pPr>
      <w:r w:rsidRPr="005107ED">
        <w:rPr>
          <w:rFonts w:asciiTheme="minorHAnsi" w:hAnsiTheme="minorHAnsi" w:cstheme="minorHAnsi"/>
          <w:b/>
          <w:sz w:val="24"/>
          <w:szCs w:val="24"/>
        </w:rPr>
        <w:t>Mission</w:t>
      </w:r>
    </w:p>
    <w:p w:rsidR="000A3337" w:rsidRPr="005107ED" w:rsidRDefault="00AD730D" w:rsidP="004B2FF5">
      <w:pPr>
        <w:spacing w:line="240" w:lineRule="auto"/>
        <w:contextualSpacing/>
        <w:rPr>
          <w:rFonts w:cstheme="minorHAnsi"/>
          <w:sz w:val="24"/>
          <w:szCs w:val="24"/>
        </w:rPr>
      </w:pPr>
      <w:r w:rsidRPr="005107ED">
        <w:rPr>
          <w:rFonts w:cstheme="minorHAnsi"/>
          <w:sz w:val="24"/>
          <w:szCs w:val="24"/>
        </w:rPr>
        <w:t xml:space="preserve">Equipping </w:t>
      </w:r>
      <w:r w:rsidR="00F30FEC" w:rsidRPr="005107ED">
        <w:rPr>
          <w:rFonts w:cstheme="minorHAnsi"/>
          <w:sz w:val="24"/>
          <w:szCs w:val="24"/>
        </w:rPr>
        <w:t xml:space="preserve">students for redemptive and creative participation in </w:t>
      </w:r>
      <w:r w:rsidR="00B23E21" w:rsidRPr="005107ED">
        <w:rPr>
          <w:rFonts w:cstheme="minorHAnsi"/>
          <w:sz w:val="24"/>
          <w:szCs w:val="24"/>
        </w:rPr>
        <w:t xml:space="preserve">a </w:t>
      </w:r>
      <w:r w:rsidR="00A66613" w:rsidRPr="005107ED">
        <w:rPr>
          <w:rFonts w:cstheme="minorHAnsi"/>
          <w:sz w:val="24"/>
          <w:szCs w:val="24"/>
        </w:rPr>
        <w:t>democratic society</w:t>
      </w:r>
      <w:r w:rsidRPr="005107ED">
        <w:rPr>
          <w:rFonts w:cstheme="minorHAnsi"/>
          <w:sz w:val="24"/>
          <w:szCs w:val="24"/>
        </w:rPr>
        <w:t xml:space="preserve"> </w:t>
      </w:r>
    </w:p>
    <w:p w:rsidR="00AD730D" w:rsidRPr="005107ED" w:rsidRDefault="00AD730D" w:rsidP="004B2FF5">
      <w:pPr>
        <w:spacing w:line="240" w:lineRule="auto"/>
        <w:contextualSpacing/>
        <w:rPr>
          <w:rFonts w:cstheme="minorHAnsi"/>
          <w:sz w:val="24"/>
          <w:szCs w:val="24"/>
          <w:u w:val="single"/>
        </w:rPr>
      </w:pPr>
    </w:p>
    <w:p w:rsidR="000A3337" w:rsidRPr="005107ED" w:rsidRDefault="000A3337" w:rsidP="004B2FF5">
      <w:pPr>
        <w:spacing w:line="240" w:lineRule="auto"/>
        <w:contextualSpacing/>
        <w:rPr>
          <w:rFonts w:cstheme="minorHAnsi"/>
          <w:b/>
          <w:sz w:val="24"/>
          <w:szCs w:val="24"/>
        </w:rPr>
      </w:pPr>
      <w:r w:rsidRPr="005107ED">
        <w:rPr>
          <w:rFonts w:cstheme="minorHAnsi"/>
          <w:b/>
          <w:sz w:val="24"/>
          <w:szCs w:val="24"/>
        </w:rPr>
        <w:t>Vision</w:t>
      </w:r>
    </w:p>
    <w:p w:rsidR="00C074C6" w:rsidRPr="005107ED" w:rsidRDefault="00C074C6" w:rsidP="004B2FF5">
      <w:pPr>
        <w:spacing w:line="240" w:lineRule="auto"/>
        <w:contextualSpacing/>
        <w:rPr>
          <w:rFonts w:cstheme="minorHAnsi"/>
          <w:sz w:val="24"/>
          <w:szCs w:val="24"/>
        </w:rPr>
      </w:pPr>
      <w:r w:rsidRPr="005107ED">
        <w:rPr>
          <w:rFonts w:cstheme="minorHAnsi"/>
          <w:sz w:val="24"/>
          <w:szCs w:val="24"/>
        </w:rPr>
        <w:t xml:space="preserve">The MHU Center for Ethics </w:t>
      </w:r>
      <w:r w:rsidR="00BA7669" w:rsidRPr="005107ED">
        <w:rPr>
          <w:rFonts w:cstheme="minorHAnsi"/>
          <w:sz w:val="24"/>
          <w:szCs w:val="24"/>
        </w:rPr>
        <w:t>aims to deepen student</w:t>
      </w:r>
      <w:r w:rsidRPr="005107ED">
        <w:rPr>
          <w:rFonts w:cstheme="minorHAnsi"/>
          <w:sz w:val="24"/>
          <w:szCs w:val="24"/>
        </w:rPr>
        <w:t>s</w:t>
      </w:r>
      <w:r w:rsidR="00BA7669" w:rsidRPr="005107ED">
        <w:rPr>
          <w:rFonts w:cstheme="minorHAnsi"/>
          <w:sz w:val="24"/>
          <w:szCs w:val="24"/>
        </w:rPr>
        <w:t>’ understanding</w:t>
      </w:r>
      <w:r w:rsidR="00D30231" w:rsidRPr="005107ED">
        <w:rPr>
          <w:rFonts w:cstheme="minorHAnsi"/>
          <w:sz w:val="24"/>
          <w:szCs w:val="24"/>
        </w:rPr>
        <w:t xml:space="preserve"> of</w:t>
      </w:r>
      <w:r w:rsidR="00BA7669" w:rsidRPr="005107ED">
        <w:rPr>
          <w:rFonts w:cstheme="minorHAnsi"/>
          <w:sz w:val="24"/>
          <w:szCs w:val="24"/>
        </w:rPr>
        <w:t xml:space="preserve">, critical engagement with, and </w:t>
      </w:r>
      <w:r w:rsidR="00A77F1C" w:rsidRPr="005107ED">
        <w:rPr>
          <w:rFonts w:cstheme="minorHAnsi"/>
          <w:sz w:val="24"/>
          <w:szCs w:val="24"/>
        </w:rPr>
        <w:t xml:space="preserve">commitment </w:t>
      </w:r>
      <w:r w:rsidR="00FE4149" w:rsidRPr="005107ED">
        <w:rPr>
          <w:rFonts w:cstheme="minorHAnsi"/>
          <w:sz w:val="24"/>
          <w:szCs w:val="24"/>
        </w:rPr>
        <w:t xml:space="preserve">to </w:t>
      </w:r>
      <w:r w:rsidR="00BA7669" w:rsidRPr="005107ED">
        <w:rPr>
          <w:rFonts w:cstheme="minorHAnsi"/>
          <w:sz w:val="24"/>
          <w:szCs w:val="24"/>
        </w:rPr>
        <w:t xml:space="preserve">democratic values: </w:t>
      </w:r>
      <w:r w:rsidR="00615545" w:rsidRPr="005107ED">
        <w:rPr>
          <w:rFonts w:cstheme="minorHAnsi"/>
          <w:sz w:val="24"/>
          <w:szCs w:val="24"/>
        </w:rPr>
        <w:t xml:space="preserve">personal responsibility, collaboration, </w:t>
      </w:r>
      <w:r w:rsidR="00BA7669" w:rsidRPr="005107ED">
        <w:rPr>
          <w:rFonts w:cstheme="minorHAnsi"/>
          <w:sz w:val="24"/>
          <w:szCs w:val="24"/>
        </w:rPr>
        <w:t xml:space="preserve">freedom, equality, </w:t>
      </w:r>
      <w:r w:rsidR="00615545" w:rsidRPr="005107ED">
        <w:rPr>
          <w:rFonts w:cstheme="minorHAnsi"/>
          <w:sz w:val="24"/>
          <w:szCs w:val="24"/>
        </w:rPr>
        <w:t xml:space="preserve">and dignity. </w:t>
      </w:r>
      <w:r w:rsidR="00BA7669" w:rsidRPr="005107ED">
        <w:rPr>
          <w:rFonts w:cstheme="minorHAnsi"/>
          <w:sz w:val="24"/>
          <w:szCs w:val="24"/>
        </w:rPr>
        <w:t>Furthermore, we seek to empower students</w:t>
      </w:r>
      <w:r w:rsidRPr="005107ED">
        <w:rPr>
          <w:rFonts w:cstheme="minorHAnsi"/>
          <w:sz w:val="24"/>
          <w:szCs w:val="24"/>
        </w:rPr>
        <w:t xml:space="preserve"> </w:t>
      </w:r>
      <w:r w:rsidR="00D30231" w:rsidRPr="005107ED">
        <w:rPr>
          <w:rFonts w:cstheme="minorHAnsi"/>
          <w:sz w:val="24"/>
          <w:szCs w:val="24"/>
        </w:rPr>
        <w:t>to</w:t>
      </w:r>
      <w:r w:rsidR="00BA7669" w:rsidRPr="005107ED">
        <w:rPr>
          <w:rFonts w:cstheme="minorHAnsi"/>
          <w:sz w:val="24"/>
          <w:szCs w:val="24"/>
        </w:rPr>
        <w:t xml:space="preserve"> embody their </w:t>
      </w:r>
      <w:r w:rsidRPr="005107ED">
        <w:rPr>
          <w:rFonts w:cstheme="minorHAnsi"/>
          <w:sz w:val="24"/>
          <w:szCs w:val="24"/>
        </w:rPr>
        <w:t xml:space="preserve">convictions </w:t>
      </w:r>
      <w:r w:rsidR="00BA7669" w:rsidRPr="005107ED">
        <w:rPr>
          <w:rFonts w:cstheme="minorHAnsi"/>
          <w:sz w:val="24"/>
          <w:szCs w:val="24"/>
        </w:rPr>
        <w:t>in and through the basic institutions of a democratic society</w:t>
      </w:r>
      <w:r w:rsidRPr="005107ED">
        <w:rPr>
          <w:rFonts w:cstheme="minorHAnsi"/>
          <w:sz w:val="24"/>
          <w:szCs w:val="24"/>
        </w:rPr>
        <w:t>: local, state, and national governments; religious, ethnic, and cultural communities; not-for-profit organizations; businesses; and a free press.  Toward this en</w:t>
      </w:r>
      <w:r w:rsidR="00FC1ABF" w:rsidRPr="005107ED">
        <w:rPr>
          <w:rFonts w:cstheme="minorHAnsi"/>
          <w:sz w:val="24"/>
          <w:szCs w:val="24"/>
        </w:rPr>
        <w:t xml:space="preserve">d, the Center for Ethics pursues the </w:t>
      </w:r>
      <w:r w:rsidR="0045162A" w:rsidRPr="005107ED">
        <w:rPr>
          <w:rFonts w:cstheme="minorHAnsi"/>
          <w:sz w:val="24"/>
          <w:szCs w:val="24"/>
        </w:rPr>
        <w:t>following</w:t>
      </w:r>
      <w:r w:rsidR="00FC1ABF" w:rsidRPr="005107ED">
        <w:rPr>
          <w:rFonts w:cstheme="minorHAnsi"/>
          <w:sz w:val="24"/>
          <w:szCs w:val="24"/>
        </w:rPr>
        <w:t xml:space="preserve"> learning goals</w:t>
      </w:r>
      <w:r w:rsidRPr="005107ED">
        <w:rPr>
          <w:rFonts w:cstheme="minorHAnsi"/>
          <w:sz w:val="24"/>
          <w:szCs w:val="24"/>
        </w:rPr>
        <w:t>:</w:t>
      </w:r>
    </w:p>
    <w:p w:rsidR="00C074C6" w:rsidRPr="005107ED" w:rsidRDefault="0045162A" w:rsidP="004B2FF5">
      <w:pPr>
        <w:pStyle w:val="ListParagraph"/>
        <w:numPr>
          <w:ilvl w:val="0"/>
          <w:numId w:val="15"/>
        </w:numPr>
        <w:spacing w:line="240" w:lineRule="auto"/>
        <w:rPr>
          <w:rFonts w:cstheme="minorHAnsi"/>
          <w:sz w:val="24"/>
          <w:szCs w:val="24"/>
        </w:rPr>
      </w:pPr>
      <w:r w:rsidRPr="005107ED">
        <w:rPr>
          <w:rFonts w:cstheme="minorHAnsi"/>
          <w:sz w:val="24"/>
          <w:szCs w:val="24"/>
        </w:rPr>
        <w:t>Students will be able to articulate, evaluate, revise</w:t>
      </w:r>
      <w:r w:rsidR="00BA7669" w:rsidRPr="005107ED">
        <w:rPr>
          <w:rFonts w:cstheme="minorHAnsi"/>
          <w:sz w:val="24"/>
          <w:szCs w:val="24"/>
        </w:rPr>
        <w:t xml:space="preserve">, and </w:t>
      </w:r>
      <w:r w:rsidRPr="005107ED">
        <w:rPr>
          <w:rFonts w:cstheme="minorHAnsi"/>
          <w:sz w:val="24"/>
          <w:szCs w:val="24"/>
        </w:rPr>
        <w:t xml:space="preserve">enact their </w:t>
      </w:r>
      <w:r w:rsidR="00C074C6" w:rsidRPr="005107ED">
        <w:rPr>
          <w:rFonts w:cstheme="minorHAnsi"/>
          <w:sz w:val="24"/>
          <w:szCs w:val="24"/>
        </w:rPr>
        <w:t>personal moral convictions</w:t>
      </w:r>
      <w:r w:rsidRPr="005107ED">
        <w:rPr>
          <w:rFonts w:cstheme="minorHAnsi"/>
          <w:sz w:val="24"/>
          <w:szCs w:val="24"/>
        </w:rPr>
        <w:t xml:space="preserve">. </w:t>
      </w:r>
    </w:p>
    <w:p w:rsidR="00C074C6" w:rsidRPr="005107ED" w:rsidRDefault="0045162A" w:rsidP="004B2FF5">
      <w:pPr>
        <w:pStyle w:val="ListParagraph"/>
        <w:numPr>
          <w:ilvl w:val="0"/>
          <w:numId w:val="15"/>
        </w:numPr>
        <w:spacing w:line="240" w:lineRule="auto"/>
        <w:rPr>
          <w:rFonts w:cstheme="minorHAnsi"/>
          <w:sz w:val="24"/>
          <w:szCs w:val="24"/>
        </w:rPr>
      </w:pPr>
      <w:r w:rsidRPr="005107ED">
        <w:rPr>
          <w:rFonts w:cstheme="minorHAnsi"/>
          <w:sz w:val="24"/>
          <w:szCs w:val="24"/>
        </w:rPr>
        <w:t>Students will be able to respectfully engage</w:t>
      </w:r>
      <w:r w:rsidR="00BA7669" w:rsidRPr="005107ED">
        <w:rPr>
          <w:rFonts w:cstheme="minorHAnsi"/>
          <w:sz w:val="24"/>
          <w:szCs w:val="24"/>
        </w:rPr>
        <w:t xml:space="preserve"> others’ moral convictions</w:t>
      </w:r>
      <w:r w:rsidRPr="005107ED">
        <w:rPr>
          <w:rFonts w:cstheme="minorHAnsi"/>
          <w:sz w:val="24"/>
          <w:szCs w:val="24"/>
        </w:rPr>
        <w:t>.</w:t>
      </w:r>
    </w:p>
    <w:p w:rsidR="00BA7669" w:rsidRPr="005107ED" w:rsidRDefault="0045162A" w:rsidP="004B2FF5">
      <w:pPr>
        <w:pStyle w:val="ListParagraph"/>
        <w:numPr>
          <w:ilvl w:val="0"/>
          <w:numId w:val="15"/>
        </w:numPr>
        <w:spacing w:line="240" w:lineRule="auto"/>
        <w:rPr>
          <w:rFonts w:cstheme="minorHAnsi"/>
          <w:sz w:val="24"/>
          <w:szCs w:val="24"/>
        </w:rPr>
      </w:pPr>
      <w:r w:rsidRPr="005107ED">
        <w:rPr>
          <w:rFonts w:cstheme="minorHAnsi"/>
          <w:sz w:val="24"/>
          <w:szCs w:val="24"/>
        </w:rPr>
        <w:t>Students will be able to develop</w:t>
      </w:r>
      <w:r w:rsidR="00BA7669" w:rsidRPr="005107ED">
        <w:rPr>
          <w:rFonts w:cstheme="minorHAnsi"/>
          <w:sz w:val="24"/>
          <w:szCs w:val="24"/>
        </w:rPr>
        <w:t xml:space="preserve"> shared expectations for conduct</w:t>
      </w:r>
      <w:r w:rsidRPr="005107ED">
        <w:rPr>
          <w:rFonts w:cstheme="minorHAnsi"/>
          <w:sz w:val="24"/>
          <w:szCs w:val="24"/>
        </w:rPr>
        <w:t xml:space="preserve"> with people who differ from them religiously</w:t>
      </w:r>
      <w:r w:rsidR="00B76AF5" w:rsidRPr="005107ED">
        <w:rPr>
          <w:rFonts w:cstheme="minorHAnsi"/>
          <w:sz w:val="24"/>
          <w:szCs w:val="24"/>
        </w:rPr>
        <w:t xml:space="preserve">, racially, socioeconomically, ethnically, </w:t>
      </w:r>
      <w:r w:rsidRPr="005107ED">
        <w:rPr>
          <w:rFonts w:cstheme="minorHAnsi"/>
          <w:sz w:val="24"/>
          <w:szCs w:val="24"/>
        </w:rPr>
        <w:t xml:space="preserve">and/or ideologically. </w:t>
      </w:r>
    </w:p>
    <w:p w:rsidR="00A70B24" w:rsidRPr="005107ED" w:rsidRDefault="0045162A" w:rsidP="004B2FF5">
      <w:pPr>
        <w:pStyle w:val="ListParagraph"/>
        <w:numPr>
          <w:ilvl w:val="0"/>
          <w:numId w:val="15"/>
        </w:numPr>
        <w:spacing w:line="240" w:lineRule="auto"/>
        <w:rPr>
          <w:rFonts w:cstheme="minorHAnsi"/>
          <w:sz w:val="24"/>
          <w:szCs w:val="24"/>
        </w:rPr>
      </w:pPr>
      <w:r w:rsidRPr="005107ED">
        <w:rPr>
          <w:rFonts w:cstheme="minorHAnsi"/>
          <w:sz w:val="24"/>
          <w:szCs w:val="24"/>
        </w:rPr>
        <w:t xml:space="preserve">Students will be able to </w:t>
      </w:r>
      <w:r w:rsidR="00BA7669" w:rsidRPr="005107ED">
        <w:rPr>
          <w:rFonts w:cstheme="minorHAnsi"/>
          <w:sz w:val="24"/>
          <w:szCs w:val="24"/>
        </w:rPr>
        <w:t>collaborative</w:t>
      </w:r>
      <w:r w:rsidRPr="005107ED">
        <w:rPr>
          <w:rFonts w:cstheme="minorHAnsi"/>
          <w:sz w:val="24"/>
          <w:szCs w:val="24"/>
        </w:rPr>
        <w:t xml:space="preserve">ly pursue </w:t>
      </w:r>
      <w:r w:rsidR="00BA7669" w:rsidRPr="005107ED">
        <w:rPr>
          <w:rFonts w:cstheme="minorHAnsi"/>
          <w:sz w:val="24"/>
          <w:szCs w:val="24"/>
        </w:rPr>
        <w:t>shared values and goals</w:t>
      </w:r>
      <w:r w:rsidR="00F30FEC" w:rsidRPr="005107ED">
        <w:rPr>
          <w:rFonts w:cstheme="minorHAnsi"/>
          <w:sz w:val="24"/>
          <w:szCs w:val="24"/>
        </w:rPr>
        <w:t xml:space="preserve"> within the institutions named above. </w:t>
      </w:r>
    </w:p>
    <w:p w:rsidR="00780567" w:rsidRPr="005107ED" w:rsidRDefault="00780567" w:rsidP="004B2FF5">
      <w:pPr>
        <w:pStyle w:val="Title"/>
        <w:rPr>
          <w:rFonts w:asciiTheme="minorHAnsi" w:hAnsiTheme="minorHAnsi" w:cstheme="minorHAnsi"/>
        </w:rPr>
      </w:pPr>
    </w:p>
    <w:p w:rsidR="006209E7" w:rsidRPr="005107ED" w:rsidRDefault="006209E7">
      <w:pPr>
        <w:rPr>
          <w:rFonts w:eastAsiaTheme="majorEastAsia" w:cstheme="minorHAnsi"/>
          <w:spacing w:val="-10"/>
          <w:kern w:val="28"/>
          <w:sz w:val="56"/>
          <w:szCs w:val="56"/>
        </w:rPr>
      </w:pPr>
      <w:r w:rsidRPr="005107ED">
        <w:rPr>
          <w:rFonts w:cstheme="minorHAnsi"/>
        </w:rPr>
        <w:br w:type="page"/>
      </w:r>
    </w:p>
    <w:p w:rsidR="00A70B24" w:rsidRPr="005107ED" w:rsidRDefault="007516E6" w:rsidP="004B2FF5">
      <w:pPr>
        <w:pStyle w:val="Title"/>
        <w:rPr>
          <w:rFonts w:asciiTheme="minorHAnsi" w:hAnsiTheme="minorHAnsi" w:cstheme="minorHAnsi"/>
        </w:rPr>
      </w:pPr>
      <w:r w:rsidRPr="005107ED">
        <w:rPr>
          <w:rFonts w:asciiTheme="minorHAnsi" w:hAnsiTheme="minorHAnsi" w:cstheme="minorHAnsi"/>
        </w:rPr>
        <w:t>Activities and Accomplishments</w:t>
      </w:r>
    </w:p>
    <w:p w:rsidR="0035430C" w:rsidRDefault="0035430C" w:rsidP="004B2FF5">
      <w:pPr>
        <w:spacing w:line="240" w:lineRule="auto"/>
        <w:contextualSpacing/>
        <w:rPr>
          <w:rFonts w:cstheme="minorHAnsi"/>
          <w:b/>
          <w:sz w:val="24"/>
          <w:szCs w:val="24"/>
        </w:rPr>
      </w:pPr>
    </w:p>
    <w:p w:rsidR="00982A90" w:rsidRPr="005107ED" w:rsidRDefault="00D2115E" w:rsidP="004B2FF5">
      <w:pPr>
        <w:spacing w:line="240" w:lineRule="auto"/>
        <w:contextualSpacing/>
        <w:rPr>
          <w:rFonts w:cstheme="minorHAnsi"/>
          <w:b/>
          <w:sz w:val="24"/>
          <w:szCs w:val="24"/>
        </w:rPr>
      </w:pPr>
      <w:r w:rsidRPr="005107ED">
        <w:rPr>
          <w:rFonts w:cstheme="minorHAnsi"/>
          <w:b/>
          <w:sz w:val="24"/>
          <w:szCs w:val="24"/>
        </w:rPr>
        <w:t>GE112 Revision</w:t>
      </w:r>
    </w:p>
    <w:p w:rsidR="005107ED" w:rsidRPr="005107ED" w:rsidRDefault="005107ED" w:rsidP="004B2FF5">
      <w:pPr>
        <w:spacing w:line="240" w:lineRule="auto"/>
        <w:contextualSpacing/>
        <w:rPr>
          <w:rFonts w:cstheme="minorHAnsi"/>
          <w:sz w:val="24"/>
          <w:szCs w:val="24"/>
        </w:rPr>
      </w:pPr>
      <w:r w:rsidRPr="005107ED">
        <w:rPr>
          <w:rFonts w:cstheme="minorHAnsi"/>
          <w:sz w:val="24"/>
          <w:szCs w:val="24"/>
        </w:rPr>
        <w:t>In January 2020, Dean Joanna Pierce—at the request of President Floyd—initiated a General Studies revision process. The GE112 revision i</w:t>
      </w:r>
      <w:r w:rsidR="0035430C">
        <w:rPr>
          <w:rFonts w:cstheme="minorHAnsi"/>
          <w:sz w:val="24"/>
          <w:szCs w:val="24"/>
        </w:rPr>
        <w:t>s the first step of the larger</w:t>
      </w:r>
      <w:r w:rsidRPr="005107ED">
        <w:rPr>
          <w:rFonts w:cstheme="minorHAnsi"/>
          <w:sz w:val="24"/>
          <w:szCs w:val="24"/>
        </w:rPr>
        <w:t xml:space="preserve"> process. A team of instructors partnered with Jimmy Knight, Director of the</w:t>
      </w:r>
      <w:r w:rsidR="00B02BCE">
        <w:rPr>
          <w:rFonts w:cstheme="minorHAnsi"/>
          <w:sz w:val="24"/>
          <w:szCs w:val="24"/>
        </w:rPr>
        <w:t xml:space="preserve"> Cothran Career Center,</w:t>
      </w:r>
      <w:r w:rsidR="0035430C">
        <w:rPr>
          <w:rFonts w:cstheme="minorHAnsi"/>
          <w:sz w:val="24"/>
          <w:szCs w:val="24"/>
        </w:rPr>
        <w:t xml:space="preserve"> </w:t>
      </w:r>
      <w:r w:rsidRPr="005107ED">
        <w:rPr>
          <w:rFonts w:cstheme="minorHAnsi"/>
          <w:sz w:val="24"/>
          <w:szCs w:val="24"/>
        </w:rPr>
        <w:t>to make the follow</w:t>
      </w:r>
      <w:r w:rsidR="0035430C">
        <w:rPr>
          <w:rFonts w:cstheme="minorHAnsi"/>
          <w:sz w:val="24"/>
          <w:szCs w:val="24"/>
        </w:rPr>
        <w:t>ing changes to the GE112 course:</w:t>
      </w:r>
    </w:p>
    <w:p w:rsidR="005107ED" w:rsidRPr="005107ED" w:rsidRDefault="005107ED" w:rsidP="005107ED">
      <w:pPr>
        <w:pStyle w:val="ListParagraph"/>
        <w:numPr>
          <w:ilvl w:val="0"/>
          <w:numId w:val="21"/>
        </w:numPr>
        <w:spacing w:after="0" w:line="240" w:lineRule="auto"/>
        <w:contextualSpacing w:val="0"/>
        <w:rPr>
          <w:rFonts w:cstheme="minorHAnsi"/>
          <w:sz w:val="24"/>
          <w:szCs w:val="24"/>
        </w:rPr>
      </w:pPr>
      <w:r w:rsidRPr="005107ED">
        <w:rPr>
          <w:rFonts w:cstheme="minorHAnsi"/>
          <w:sz w:val="24"/>
          <w:szCs w:val="24"/>
        </w:rPr>
        <w:t>New Course Title: Profession and Purpose</w:t>
      </w:r>
    </w:p>
    <w:p w:rsidR="005107ED" w:rsidRPr="005107ED" w:rsidRDefault="005107ED" w:rsidP="005107ED">
      <w:pPr>
        <w:pStyle w:val="ListParagraph"/>
        <w:numPr>
          <w:ilvl w:val="0"/>
          <w:numId w:val="21"/>
        </w:numPr>
        <w:spacing w:after="0" w:line="240" w:lineRule="auto"/>
        <w:contextualSpacing w:val="0"/>
        <w:rPr>
          <w:rFonts w:cstheme="minorHAnsi"/>
          <w:sz w:val="24"/>
          <w:szCs w:val="24"/>
        </w:rPr>
      </w:pPr>
      <w:r w:rsidRPr="005107ED">
        <w:rPr>
          <w:rFonts w:cstheme="minorHAnsi"/>
          <w:sz w:val="24"/>
          <w:szCs w:val="24"/>
        </w:rPr>
        <w:t>New Course Description: Which careers can help me live a purposeful and happy life? How do I build that kind of career? This course helps first year students answer those two questions. For students who have already identified career goals, this course will help them pursue those goals more effectively, and it will help them recognize, ethically evaluate, and take advantage of career opportunities they might not have anticipated.</w:t>
      </w:r>
    </w:p>
    <w:p w:rsidR="005107ED" w:rsidRPr="005107ED" w:rsidRDefault="005107ED" w:rsidP="005107ED">
      <w:pPr>
        <w:pStyle w:val="ListParagraph"/>
        <w:numPr>
          <w:ilvl w:val="0"/>
          <w:numId w:val="21"/>
        </w:numPr>
        <w:spacing w:after="0" w:line="240" w:lineRule="auto"/>
        <w:contextualSpacing w:val="0"/>
        <w:rPr>
          <w:rFonts w:cstheme="minorHAnsi"/>
          <w:sz w:val="24"/>
          <w:szCs w:val="24"/>
        </w:rPr>
      </w:pPr>
      <w:r w:rsidRPr="005107ED">
        <w:rPr>
          <w:rFonts w:cstheme="minorHAnsi"/>
          <w:sz w:val="24"/>
          <w:szCs w:val="24"/>
        </w:rPr>
        <w:t>New SLOs</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Students will explain 3-4 ethical perspectives on the role of paid employment in a meaningful life (Critical Thinking, Written Communication).</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Students will express their own value judgments on the role of paid employment in a meaningful life (Written Communication</w:t>
      </w:r>
      <w:r w:rsidR="00B02BCE">
        <w:rPr>
          <w:rFonts w:cstheme="minorHAnsi"/>
          <w:sz w:val="24"/>
          <w:szCs w:val="24"/>
        </w:rPr>
        <w:t>, Oral Communication</w:t>
      </w:r>
      <w:r w:rsidRPr="005107ED">
        <w:rPr>
          <w:rFonts w:cstheme="minorHAnsi"/>
          <w:sz w:val="24"/>
          <w:szCs w:val="24"/>
        </w:rPr>
        <w:t>).</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Students will identify 3-4 careers that align with their value judgments on the role of paid employment in a meaningful life.</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Students will craft an 18-month career exploration and/or preparation plan</w:t>
      </w:r>
      <w:r w:rsidR="00B02BCE">
        <w:rPr>
          <w:rFonts w:cstheme="minorHAnsi"/>
          <w:sz w:val="24"/>
          <w:szCs w:val="24"/>
        </w:rPr>
        <w:t xml:space="preserve"> (Creative Thinking)</w:t>
      </w:r>
      <w:r w:rsidRPr="005107ED">
        <w:rPr>
          <w:rFonts w:cstheme="minorHAnsi"/>
          <w:sz w:val="24"/>
          <w:szCs w:val="24"/>
        </w:rPr>
        <w:t>.</w:t>
      </w:r>
    </w:p>
    <w:p w:rsidR="005107ED" w:rsidRPr="005107ED" w:rsidRDefault="005107ED" w:rsidP="005107ED">
      <w:pPr>
        <w:pStyle w:val="ListParagraph"/>
        <w:numPr>
          <w:ilvl w:val="0"/>
          <w:numId w:val="21"/>
        </w:numPr>
        <w:spacing w:after="0" w:line="240" w:lineRule="auto"/>
        <w:contextualSpacing w:val="0"/>
        <w:rPr>
          <w:rFonts w:cstheme="minorHAnsi"/>
          <w:sz w:val="24"/>
          <w:szCs w:val="24"/>
        </w:rPr>
      </w:pPr>
      <w:r w:rsidRPr="005107ED">
        <w:rPr>
          <w:rFonts w:cstheme="minorHAnsi"/>
          <w:sz w:val="24"/>
          <w:szCs w:val="24"/>
        </w:rPr>
        <w:t>Model assignments created</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18-Month Career Exploration and Development Plan assignment</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Meaning of Work Written Reflection assignment</w:t>
      </w:r>
    </w:p>
    <w:p w:rsidR="005107ED" w:rsidRPr="005107ED" w:rsidRDefault="005107ED" w:rsidP="005107ED">
      <w:pPr>
        <w:pStyle w:val="ListParagraph"/>
        <w:numPr>
          <w:ilvl w:val="1"/>
          <w:numId w:val="21"/>
        </w:numPr>
        <w:spacing w:after="0" w:line="240" w:lineRule="auto"/>
        <w:contextualSpacing w:val="0"/>
        <w:rPr>
          <w:rFonts w:cstheme="minorHAnsi"/>
          <w:sz w:val="24"/>
          <w:szCs w:val="24"/>
        </w:rPr>
      </w:pPr>
      <w:r w:rsidRPr="005107ED">
        <w:rPr>
          <w:rFonts w:cstheme="minorHAnsi"/>
          <w:sz w:val="24"/>
          <w:szCs w:val="24"/>
        </w:rPr>
        <w:t>Meaning of Work Narrated PowerPoint</w:t>
      </w:r>
    </w:p>
    <w:p w:rsidR="005107ED" w:rsidRPr="005107ED" w:rsidRDefault="005107ED" w:rsidP="005107ED">
      <w:pPr>
        <w:pStyle w:val="ListParagraph"/>
        <w:numPr>
          <w:ilvl w:val="0"/>
          <w:numId w:val="21"/>
        </w:numPr>
        <w:spacing w:after="0" w:line="240" w:lineRule="auto"/>
        <w:contextualSpacing w:val="0"/>
        <w:rPr>
          <w:rFonts w:cstheme="minorHAnsi"/>
          <w:sz w:val="24"/>
          <w:szCs w:val="24"/>
        </w:rPr>
      </w:pPr>
      <w:r w:rsidRPr="005107ED">
        <w:rPr>
          <w:rFonts w:cstheme="minorHAnsi"/>
          <w:sz w:val="24"/>
          <w:szCs w:val="24"/>
        </w:rPr>
        <w:t>New Leadership: Jonathan Rose, Assistant Professor of Political Science</w:t>
      </w:r>
    </w:p>
    <w:p w:rsidR="00C95CE0" w:rsidRPr="005107ED" w:rsidRDefault="00C95CE0" w:rsidP="004B2FF5">
      <w:pPr>
        <w:spacing w:line="240" w:lineRule="auto"/>
        <w:contextualSpacing/>
        <w:rPr>
          <w:rFonts w:cstheme="minorHAnsi"/>
          <w:b/>
          <w:sz w:val="24"/>
          <w:szCs w:val="24"/>
        </w:rPr>
      </w:pPr>
    </w:p>
    <w:p w:rsidR="00281FC9" w:rsidRPr="005107ED" w:rsidRDefault="00281FC9" w:rsidP="004B2FF5">
      <w:pPr>
        <w:spacing w:line="240" w:lineRule="auto"/>
        <w:contextualSpacing/>
        <w:rPr>
          <w:rFonts w:cstheme="minorHAnsi"/>
          <w:b/>
          <w:sz w:val="24"/>
          <w:szCs w:val="24"/>
        </w:rPr>
      </w:pPr>
      <w:r w:rsidRPr="005107ED">
        <w:rPr>
          <w:rFonts w:cstheme="minorHAnsi"/>
          <w:b/>
          <w:sz w:val="24"/>
          <w:szCs w:val="24"/>
        </w:rPr>
        <w:t>Ethics Bowl</w:t>
      </w:r>
      <w:r w:rsidR="007D0D2C" w:rsidRPr="005107ED">
        <w:rPr>
          <w:rFonts w:cstheme="minorHAnsi"/>
          <w:b/>
          <w:sz w:val="24"/>
          <w:szCs w:val="24"/>
        </w:rPr>
        <w:t xml:space="preserve"> </w:t>
      </w:r>
      <w:r w:rsidR="005107ED">
        <w:rPr>
          <w:rFonts w:cstheme="minorHAnsi"/>
          <w:b/>
          <w:sz w:val="24"/>
          <w:szCs w:val="24"/>
        </w:rPr>
        <w:t>as Academic Course</w:t>
      </w:r>
    </w:p>
    <w:p w:rsidR="005107ED" w:rsidRDefault="005107ED" w:rsidP="004B2FF5">
      <w:pPr>
        <w:spacing w:line="240" w:lineRule="auto"/>
        <w:contextualSpacing/>
        <w:rPr>
          <w:rStyle w:val="Strong"/>
          <w:rFonts w:cstheme="minorHAnsi"/>
          <w:b w:val="0"/>
          <w:sz w:val="24"/>
          <w:szCs w:val="24"/>
          <w:shd w:val="clear" w:color="auto" w:fill="FFFFFF"/>
        </w:rPr>
      </w:pPr>
      <w:r w:rsidRPr="005107ED">
        <w:rPr>
          <w:rFonts w:cstheme="minorHAnsi"/>
          <w:sz w:val="24"/>
          <w:szCs w:val="24"/>
        </w:rPr>
        <w:t>For the first time, four MHU students not only volunteered to participate in MHU’s Ethics Bowl team, they also enrolled in the one-hour course “Ethics Bowl</w:t>
      </w:r>
      <w:r w:rsidR="004111E4">
        <w:rPr>
          <w:rFonts w:cstheme="minorHAnsi"/>
          <w:sz w:val="24"/>
          <w:szCs w:val="24"/>
        </w:rPr>
        <w:t>.</w:t>
      </w:r>
      <w:r w:rsidRPr="005107ED">
        <w:rPr>
          <w:rFonts w:cstheme="minorHAnsi"/>
          <w:sz w:val="24"/>
          <w:szCs w:val="24"/>
        </w:rPr>
        <w:t>”</w:t>
      </w:r>
      <w:r w:rsidR="004111E4">
        <w:rPr>
          <w:rFonts w:cstheme="minorHAnsi"/>
          <w:sz w:val="24"/>
          <w:szCs w:val="24"/>
        </w:rPr>
        <w:t xml:space="preserve"> (Ethics Bowl has been offered for credit before as an experimental course. What is new this year is its implementation after approval from the Curriculum Committee</w:t>
      </w:r>
      <w:r w:rsidR="00B02BCE">
        <w:rPr>
          <w:rFonts w:cstheme="minorHAnsi"/>
          <w:sz w:val="24"/>
          <w:szCs w:val="24"/>
        </w:rPr>
        <w:t xml:space="preserve"> as a permanent course, with SLOs, course description, etc</w:t>
      </w:r>
      <w:r w:rsidR="004111E4">
        <w:rPr>
          <w:rFonts w:cstheme="minorHAnsi"/>
          <w:sz w:val="24"/>
          <w:szCs w:val="24"/>
        </w:rPr>
        <w:t>.)</w:t>
      </w:r>
      <w:r w:rsidRPr="005107ED">
        <w:rPr>
          <w:rFonts w:cstheme="minorHAnsi"/>
          <w:sz w:val="24"/>
          <w:szCs w:val="24"/>
        </w:rPr>
        <w:t xml:space="preserve"> The team met weekly in the fall to prepare for the tournament in Raleigh in February 2020. </w:t>
      </w:r>
      <w:r w:rsidR="0035430C">
        <w:rPr>
          <w:rFonts w:cstheme="minorHAnsi"/>
          <w:sz w:val="24"/>
          <w:szCs w:val="24"/>
        </w:rPr>
        <w:t xml:space="preserve">The event was a good opportunity for family outreach, as it was attended by students’ parents and younger siblings. </w:t>
      </w:r>
      <w:r w:rsidRPr="005107ED">
        <w:rPr>
          <w:rFonts w:cstheme="minorHAnsi"/>
          <w:sz w:val="24"/>
          <w:szCs w:val="24"/>
        </w:rPr>
        <w:t xml:space="preserve">The theme of Ethics Bowl this year was Agricultural Ethics. Michelle Osborne and Laketa Smith, employees of </w:t>
      </w:r>
      <w:r w:rsidRPr="005107ED">
        <w:rPr>
          <w:rStyle w:val="Emphasis"/>
          <w:rFonts w:cstheme="minorHAnsi"/>
          <w:bCs/>
          <w:i w:val="0"/>
          <w:sz w:val="24"/>
          <w:szCs w:val="24"/>
          <w:shd w:val="clear" w:color="auto" w:fill="FFFFFF"/>
        </w:rPr>
        <w:t xml:space="preserve">the </w:t>
      </w:r>
      <w:r w:rsidRPr="005107ED">
        <w:rPr>
          <w:rStyle w:val="Strong"/>
          <w:rFonts w:cstheme="minorHAnsi"/>
          <w:b w:val="0"/>
          <w:sz w:val="24"/>
          <w:szCs w:val="24"/>
          <w:shd w:val="clear" w:color="auto" w:fill="FFFFFF"/>
        </w:rPr>
        <w:t xml:space="preserve">Rural Advancement Foundation International came and spoke with the Ethics Bowl team and other MHU students about racial justice in agriculture. </w:t>
      </w:r>
      <w:r w:rsidR="004111E4">
        <w:rPr>
          <w:rStyle w:val="Strong"/>
          <w:rFonts w:cstheme="minorHAnsi"/>
          <w:b w:val="0"/>
          <w:sz w:val="24"/>
          <w:szCs w:val="24"/>
          <w:shd w:val="clear" w:color="auto" w:fill="FFFFFF"/>
        </w:rPr>
        <w:t xml:space="preserve">One student investigated an internship with RAFI as a result of this visit. </w:t>
      </w:r>
    </w:p>
    <w:p w:rsidR="00F658D3" w:rsidRDefault="00F658D3" w:rsidP="004B2FF5">
      <w:pPr>
        <w:spacing w:line="240" w:lineRule="auto"/>
        <w:contextualSpacing/>
        <w:rPr>
          <w:rStyle w:val="Strong"/>
          <w:rFonts w:cstheme="minorHAnsi"/>
          <w:b w:val="0"/>
          <w:sz w:val="24"/>
          <w:szCs w:val="24"/>
          <w:shd w:val="clear" w:color="auto" w:fill="FFFFFF"/>
        </w:rPr>
      </w:pPr>
    </w:p>
    <w:p w:rsidR="00F658D3" w:rsidRPr="005107ED" w:rsidRDefault="00F658D3" w:rsidP="004B2FF5">
      <w:pPr>
        <w:spacing w:line="240" w:lineRule="auto"/>
        <w:contextualSpacing/>
        <w:rPr>
          <w:rFonts w:cstheme="minorHAnsi"/>
          <w:sz w:val="24"/>
          <w:szCs w:val="24"/>
        </w:rPr>
      </w:pPr>
      <w:r>
        <w:rPr>
          <w:rStyle w:val="Strong"/>
          <w:rFonts w:cstheme="minorHAnsi"/>
          <w:b w:val="0"/>
          <w:sz w:val="24"/>
          <w:szCs w:val="24"/>
          <w:shd w:val="clear" w:color="auto" w:fill="FFFFFF"/>
        </w:rPr>
        <w:t>Ryan Bell has agreed to coach the Ethics Bowl team next year. Mr. Bell coached the team from 2016-2017</w:t>
      </w:r>
      <w:r w:rsidR="0035430C">
        <w:rPr>
          <w:rStyle w:val="Strong"/>
          <w:rFonts w:cstheme="minorHAnsi"/>
          <w:b w:val="0"/>
          <w:sz w:val="24"/>
          <w:szCs w:val="24"/>
          <w:shd w:val="clear" w:color="auto" w:fill="FFFFFF"/>
        </w:rPr>
        <w:t xml:space="preserve"> to great success. All team members </w:t>
      </w:r>
      <w:r w:rsidR="00440F8A">
        <w:rPr>
          <w:rStyle w:val="Strong"/>
          <w:rFonts w:cstheme="minorHAnsi"/>
          <w:b w:val="0"/>
          <w:sz w:val="24"/>
          <w:szCs w:val="24"/>
          <w:shd w:val="clear" w:color="auto" w:fill="FFFFFF"/>
        </w:rPr>
        <w:t xml:space="preserve">whom </w:t>
      </w:r>
      <w:r w:rsidR="0035430C">
        <w:rPr>
          <w:rStyle w:val="Strong"/>
          <w:rFonts w:cstheme="minorHAnsi"/>
          <w:b w:val="0"/>
          <w:sz w:val="24"/>
          <w:szCs w:val="24"/>
          <w:shd w:val="clear" w:color="auto" w:fill="FFFFFF"/>
        </w:rPr>
        <w:t>he had coached</w:t>
      </w:r>
      <w:r w:rsidR="00440F8A">
        <w:rPr>
          <w:rStyle w:val="Strong"/>
          <w:rFonts w:cstheme="minorHAnsi"/>
          <w:b w:val="0"/>
          <w:sz w:val="24"/>
          <w:szCs w:val="24"/>
          <w:shd w:val="clear" w:color="auto" w:fill="FFFFFF"/>
        </w:rPr>
        <w:t xml:space="preserve"> and</w:t>
      </w:r>
      <w:r w:rsidR="0035430C">
        <w:rPr>
          <w:rStyle w:val="Strong"/>
          <w:rFonts w:cstheme="minorHAnsi"/>
          <w:b w:val="0"/>
          <w:sz w:val="24"/>
          <w:szCs w:val="24"/>
          <w:shd w:val="clear" w:color="auto" w:fill="FFFFFF"/>
        </w:rPr>
        <w:t xml:space="preserve"> who remained at MHU the next fall returned to compete in Ethics bowl in 2017-2018. He has already begun recruiting</w:t>
      </w:r>
      <w:r w:rsidR="00440F8A">
        <w:rPr>
          <w:rStyle w:val="Strong"/>
          <w:rFonts w:cstheme="minorHAnsi"/>
          <w:b w:val="0"/>
          <w:sz w:val="24"/>
          <w:szCs w:val="24"/>
          <w:shd w:val="clear" w:color="auto" w:fill="FFFFFF"/>
        </w:rPr>
        <w:t xml:space="preserve"> students for the 2020-2021 academic year</w:t>
      </w:r>
      <w:r w:rsidR="0035430C">
        <w:rPr>
          <w:rStyle w:val="Strong"/>
          <w:rFonts w:cstheme="minorHAnsi"/>
          <w:b w:val="0"/>
          <w:sz w:val="24"/>
          <w:szCs w:val="24"/>
          <w:shd w:val="clear" w:color="auto" w:fill="FFFFFF"/>
        </w:rPr>
        <w:t xml:space="preserve">. </w:t>
      </w:r>
    </w:p>
    <w:p w:rsidR="00C95CE0" w:rsidRPr="005107ED" w:rsidRDefault="00C95CE0" w:rsidP="004B2FF5">
      <w:pPr>
        <w:spacing w:line="240" w:lineRule="auto"/>
        <w:contextualSpacing/>
        <w:rPr>
          <w:rFonts w:cstheme="minorHAnsi"/>
          <w:b/>
          <w:sz w:val="24"/>
          <w:szCs w:val="24"/>
        </w:rPr>
      </w:pPr>
    </w:p>
    <w:p w:rsidR="00C95CE0" w:rsidRPr="005107ED" w:rsidRDefault="00D2115E" w:rsidP="004B2FF5">
      <w:pPr>
        <w:spacing w:line="240" w:lineRule="auto"/>
        <w:contextualSpacing/>
        <w:rPr>
          <w:rFonts w:cstheme="minorHAnsi"/>
          <w:b/>
          <w:sz w:val="24"/>
          <w:szCs w:val="24"/>
        </w:rPr>
      </w:pPr>
      <w:r w:rsidRPr="005107ED">
        <w:rPr>
          <w:rFonts w:cstheme="minorHAnsi"/>
          <w:b/>
          <w:sz w:val="24"/>
          <w:szCs w:val="24"/>
        </w:rPr>
        <w:t>Diversity, Civility, and Liberal Arts Initiative</w:t>
      </w:r>
    </w:p>
    <w:p w:rsidR="00642B72" w:rsidRDefault="004111E4" w:rsidP="004B2FF5">
      <w:pPr>
        <w:spacing w:line="240" w:lineRule="auto"/>
        <w:contextualSpacing/>
        <w:rPr>
          <w:rFonts w:cstheme="minorHAnsi"/>
          <w:sz w:val="24"/>
          <w:szCs w:val="24"/>
        </w:rPr>
      </w:pPr>
      <w:r>
        <w:rPr>
          <w:rFonts w:cstheme="minorHAnsi"/>
          <w:sz w:val="24"/>
          <w:szCs w:val="24"/>
        </w:rPr>
        <w:t>During the summer</w:t>
      </w:r>
      <w:r w:rsidR="0035430C">
        <w:rPr>
          <w:rFonts w:cstheme="minorHAnsi"/>
          <w:sz w:val="24"/>
          <w:szCs w:val="24"/>
        </w:rPr>
        <w:t xml:space="preserve"> of 2019, MHU sent a four</w:t>
      </w:r>
      <w:r>
        <w:rPr>
          <w:rFonts w:cstheme="minorHAnsi"/>
          <w:sz w:val="24"/>
          <w:szCs w:val="24"/>
        </w:rPr>
        <w:t>-person team to attend the Council for Independent College’s Diversity, Civility, and Liberal</w:t>
      </w:r>
      <w:r w:rsidR="00B3499D">
        <w:rPr>
          <w:rFonts w:cstheme="minorHAnsi"/>
          <w:sz w:val="24"/>
          <w:szCs w:val="24"/>
        </w:rPr>
        <w:t xml:space="preserve"> Arts Institute. That team consisted of</w:t>
      </w:r>
      <w:r>
        <w:rPr>
          <w:rFonts w:cstheme="minorHAnsi"/>
          <w:sz w:val="24"/>
          <w:szCs w:val="24"/>
        </w:rPr>
        <w:t xml:space="preserve"> </w:t>
      </w:r>
      <w:r w:rsidR="0035430C">
        <w:rPr>
          <w:rFonts w:cstheme="minorHAnsi"/>
          <w:sz w:val="24"/>
          <w:szCs w:val="24"/>
        </w:rPr>
        <w:t xml:space="preserve">the </w:t>
      </w:r>
      <w:r>
        <w:rPr>
          <w:rFonts w:cstheme="minorHAnsi"/>
          <w:sz w:val="24"/>
          <w:szCs w:val="24"/>
        </w:rPr>
        <w:t>Provost</w:t>
      </w:r>
      <w:r w:rsidR="0035430C">
        <w:rPr>
          <w:rFonts w:cstheme="minorHAnsi"/>
          <w:sz w:val="24"/>
          <w:szCs w:val="24"/>
        </w:rPr>
        <w:t>,</w:t>
      </w:r>
      <w:r>
        <w:rPr>
          <w:rFonts w:cstheme="minorHAnsi"/>
          <w:sz w:val="24"/>
          <w:szCs w:val="24"/>
        </w:rPr>
        <w:t xml:space="preserve"> John Omachonu, </w:t>
      </w:r>
      <w:r w:rsidR="00534987">
        <w:rPr>
          <w:rFonts w:cstheme="minorHAnsi"/>
          <w:sz w:val="24"/>
          <w:szCs w:val="24"/>
        </w:rPr>
        <w:t xml:space="preserve">the </w:t>
      </w:r>
      <w:r>
        <w:rPr>
          <w:rFonts w:cstheme="minorHAnsi"/>
          <w:sz w:val="24"/>
          <w:szCs w:val="24"/>
        </w:rPr>
        <w:t>Director of the Office of Diversity, Equity, and Inclusion</w:t>
      </w:r>
      <w:r w:rsidR="0035430C">
        <w:rPr>
          <w:rFonts w:cstheme="minorHAnsi"/>
          <w:sz w:val="24"/>
          <w:szCs w:val="24"/>
        </w:rPr>
        <w:t>,</w:t>
      </w:r>
      <w:r>
        <w:rPr>
          <w:rFonts w:cstheme="minorHAnsi"/>
          <w:sz w:val="24"/>
          <w:szCs w:val="24"/>
        </w:rPr>
        <w:t xml:space="preserve"> Alaysia Black Hackett, Associate Professor of English</w:t>
      </w:r>
      <w:r w:rsidR="0035430C">
        <w:rPr>
          <w:rFonts w:cstheme="minorHAnsi"/>
          <w:sz w:val="24"/>
          <w:szCs w:val="24"/>
        </w:rPr>
        <w:t>,</w:t>
      </w:r>
      <w:r>
        <w:rPr>
          <w:rFonts w:cstheme="minorHAnsi"/>
          <w:sz w:val="24"/>
          <w:szCs w:val="24"/>
        </w:rPr>
        <w:t xml:space="preserve"> Kim Reigle, and Assistant Professor of Philosophy</w:t>
      </w:r>
      <w:r w:rsidR="0035430C">
        <w:rPr>
          <w:rFonts w:cstheme="minorHAnsi"/>
          <w:sz w:val="24"/>
          <w:szCs w:val="24"/>
        </w:rPr>
        <w:t>,</w:t>
      </w:r>
      <w:r>
        <w:rPr>
          <w:rFonts w:cstheme="minorHAnsi"/>
          <w:sz w:val="24"/>
          <w:szCs w:val="24"/>
        </w:rPr>
        <w:t xml:space="preserve"> Elizabeth Whiting Pierce. </w:t>
      </w:r>
      <w:r w:rsidR="00B3499D">
        <w:rPr>
          <w:rFonts w:cstheme="minorHAnsi"/>
          <w:sz w:val="24"/>
          <w:szCs w:val="24"/>
        </w:rPr>
        <w:t xml:space="preserve">The DCLA Institute aimed to equip colleges to respond to diversity—and the conflicts that tend to accompany diversity—as opportunities for students </w:t>
      </w:r>
      <w:r w:rsidR="006206CB">
        <w:rPr>
          <w:rFonts w:cstheme="minorHAnsi"/>
          <w:sz w:val="24"/>
          <w:szCs w:val="24"/>
        </w:rPr>
        <w:t xml:space="preserve">to learn </w:t>
      </w:r>
      <w:r w:rsidR="00B3499D">
        <w:rPr>
          <w:rFonts w:cstheme="minorHAnsi"/>
          <w:sz w:val="24"/>
          <w:szCs w:val="24"/>
        </w:rPr>
        <w:t>skills for citizenship in an increasingly diverse society</w:t>
      </w:r>
      <w:r w:rsidR="00534987">
        <w:rPr>
          <w:rFonts w:cstheme="minorHAnsi"/>
          <w:sz w:val="24"/>
          <w:szCs w:val="24"/>
        </w:rPr>
        <w:t>.</w:t>
      </w:r>
    </w:p>
    <w:p w:rsidR="00B3499D" w:rsidRDefault="00B3499D" w:rsidP="004B2FF5">
      <w:pPr>
        <w:spacing w:line="240" w:lineRule="auto"/>
        <w:contextualSpacing/>
        <w:rPr>
          <w:rFonts w:cstheme="minorHAnsi"/>
          <w:sz w:val="24"/>
          <w:szCs w:val="24"/>
        </w:rPr>
      </w:pPr>
    </w:p>
    <w:p w:rsidR="00B3499D" w:rsidRPr="00B3499D" w:rsidRDefault="00B3499D" w:rsidP="004B2FF5">
      <w:pPr>
        <w:spacing w:line="240" w:lineRule="auto"/>
        <w:contextualSpacing/>
        <w:rPr>
          <w:rFonts w:cstheme="minorHAnsi"/>
          <w:sz w:val="24"/>
          <w:szCs w:val="24"/>
        </w:rPr>
      </w:pPr>
      <w:r>
        <w:rPr>
          <w:rFonts w:cstheme="minorHAnsi"/>
          <w:sz w:val="24"/>
          <w:szCs w:val="24"/>
        </w:rPr>
        <w:t xml:space="preserve">In fall 2019-spring 2020, the Center for Ethics organized MHU’s implementation of </w:t>
      </w:r>
      <w:r w:rsidR="006206CB">
        <w:rPr>
          <w:rFonts w:cstheme="minorHAnsi"/>
          <w:sz w:val="24"/>
          <w:szCs w:val="24"/>
        </w:rPr>
        <w:t xml:space="preserve">a DCLA Initiative (which shared the same goals at the DCLA Institute). The initiative </w:t>
      </w:r>
      <w:r>
        <w:rPr>
          <w:rFonts w:cstheme="minorHAnsi"/>
          <w:sz w:val="24"/>
          <w:szCs w:val="24"/>
        </w:rPr>
        <w:t>included the following activities: organizing a faculty and staff reading group for</w:t>
      </w:r>
      <w:r w:rsidR="006206CB">
        <w:rPr>
          <w:rFonts w:cstheme="minorHAnsi"/>
          <w:sz w:val="24"/>
          <w:szCs w:val="24"/>
        </w:rPr>
        <w:t xml:space="preserve"> the book</w:t>
      </w:r>
      <w:r>
        <w:rPr>
          <w:rFonts w:cstheme="minorHAnsi"/>
          <w:sz w:val="24"/>
          <w:szCs w:val="24"/>
        </w:rPr>
        <w:t xml:space="preserve"> </w:t>
      </w:r>
      <w:r>
        <w:rPr>
          <w:rFonts w:cstheme="minorHAnsi"/>
          <w:i/>
          <w:sz w:val="24"/>
          <w:szCs w:val="24"/>
        </w:rPr>
        <w:t xml:space="preserve">Moving Up Without Losing Your Way: The Ethical Costs of Upward Mobility, </w:t>
      </w:r>
      <w:r>
        <w:rPr>
          <w:rFonts w:cstheme="minorHAnsi"/>
          <w:sz w:val="24"/>
          <w:szCs w:val="24"/>
        </w:rPr>
        <w:t xml:space="preserve">co-organizing with Darryl Hylton, </w:t>
      </w:r>
      <w:r w:rsidRPr="00B3499D">
        <w:rPr>
          <w:rFonts w:cstheme="minorHAnsi"/>
          <w:sz w:val="24"/>
          <w:szCs w:val="24"/>
        </w:rPr>
        <w:t>Senior Director of Campus Engagement &amp; Le</w:t>
      </w:r>
      <w:r>
        <w:rPr>
          <w:rFonts w:cstheme="minorHAnsi"/>
          <w:sz w:val="24"/>
          <w:szCs w:val="24"/>
        </w:rPr>
        <w:t>adership, a leadership development retreat at Guilford</w:t>
      </w:r>
      <w:r w:rsidR="0035430C">
        <w:rPr>
          <w:rFonts w:cstheme="minorHAnsi"/>
          <w:sz w:val="24"/>
          <w:szCs w:val="24"/>
        </w:rPr>
        <w:t xml:space="preserve"> College</w:t>
      </w:r>
      <w:r>
        <w:rPr>
          <w:rFonts w:cstheme="minorHAnsi"/>
          <w:sz w:val="24"/>
          <w:szCs w:val="24"/>
        </w:rPr>
        <w:t xml:space="preserve"> for </w:t>
      </w:r>
      <w:r w:rsidR="006206CB">
        <w:rPr>
          <w:rFonts w:cstheme="minorHAnsi"/>
          <w:sz w:val="24"/>
          <w:szCs w:val="24"/>
        </w:rPr>
        <w:t>a dozen first year African American male students; surveying the BSA, NASA, and Latinx Student grou</w:t>
      </w:r>
      <w:r w:rsidR="00534987">
        <w:rPr>
          <w:rFonts w:cstheme="minorHAnsi"/>
          <w:sz w:val="24"/>
          <w:szCs w:val="24"/>
        </w:rPr>
        <w:t>ps regarding the needs of their clubs</w:t>
      </w:r>
      <w:r w:rsidR="006206CB">
        <w:rPr>
          <w:rFonts w:cstheme="minorHAnsi"/>
          <w:sz w:val="24"/>
          <w:szCs w:val="24"/>
        </w:rPr>
        <w:t xml:space="preserve">; and acquiring a designated space—the rooms beneath the library—to house the DEI Office and the </w:t>
      </w:r>
      <w:r w:rsidR="00534987">
        <w:rPr>
          <w:rFonts w:cstheme="minorHAnsi"/>
          <w:sz w:val="24"/>
          <w:szCs w:val="24"/>
        </w:rPr>
        <w:t xml:space="preserve">clubs </w:t>
      </w:r>
      <w:r w:rsidR="006206CB">
        <w:rPr>
          <w:rFonts w:cstheme="minorHAnsi"/>
          <w:sz w:val="24"/>
          <w:szCs w:val="24"/>
        </w:rPr>
        <w:t xml:space="preserve">under its purview. </w:t>
      </w:r>
    </w:p>
    <w:p w:rsidR="00642B72" w:rsidRPr="005107ED" w:rsidRDefault="00642B72" w:rsidP="004B2FF5">
      <w:pPr>
        <w:spacing w:line="240" w:lineRule="auto"/>
        <w:contextualSpacing/>
        <w:rPr>
          <w:rFonts w:cstheme="minorHAnsi"/>
          <w:b/>
          <w:sz w:val="24"/>
          <w:szCs w:val="24"/>
        </w:rPr>
      </w:pPr>
    </w:p>
    <w:p w:rsidR="00780567" w:rsidRPr="005107ED" w:rsidRDefault="00780567" w:rsidP="004B2FF5">
      <w:pPr>
        <w:pStyle w:val="Title"/>
        <w:rPr>
          <w:rFonts w:asciiTheme="minorHAnsi" w:hAnsiTheme="minorHAnsi" w:cstheme="minorHAnsi"/>
        </w:rPr>
      </w:pPr>
    </w:p>
    <w:p w:rsidR="006209E7" w:rsidRPr="005107ED" w:rsidRDefault="006209E7">
      <w:pPr>
        <w:rPr>
          <w:rFonts w:eastAsiaTheme="majorEastAsia" w:cstheme="minorHAnsi"/>
          <w:spacing w:val="-10"/>
          <w:kern w:val="28"/>
          <w:sz w:val="56"/>
          <w:szCs w:val="56"/>
        </w:rPr>
      </w:pPr>
      <w:r w:rsidRPr="005107ED">
        <w:rPr>
          <w:rFonts w:cstheme="minorHAnsi"/>
        </w:rPr>
        <w:br w:type="page"/>
      </w:r>
    </w:p>
    <w:p w:rsidR="006209E7" w:rsidRPr="005107ED" w:rsidRDefault="006209E7">
      <w:pPr>
        <w:rPr>
          <w:rFonts w:eastAsiaTheme="majorEastAsia" w:cstheme="minorHAnsi"/>
          <w:spacing w:val="-10"/>
          <w:kern w:val="28"/>
          <w:sz w:val="56"/>
          <w:szCs w:val="56"/>
        </w:rPr>
      </w:pPr>
    </w:p>
    <w:p w:rsidR="005175B5" w:rsidRPr="005107ED" w:rsidRDefault="005175B5" w:rsidP="004B2FF5">
      <w:pPr>
        <w:spacing w:line="240" w:lineRule="auto"/>
        <w:contextualSpacing/>
        <w:rPr>
          <w:rFonts w:cstheme="minorHAnsi"/>
          <w:sz w:val="24"/>
          <w:szCs w:val="24"/>
        </w:rPr>
      </w:pPr>
    </w:p>
    <w:p w:rsidR="006209E7" w:rsidRPr="005107ED" w:rsidRDefault="006209E7">
      <w:pPr>
        <w:rPr>
          <w:rFonts w:cstheme="minorHAnsi"/>
          <w:sz w:val="24"/>
          <w:szCs w:val="24"/>
        </w:rPr>
      </w:pPr>
      <w:r w:rsidRPr="005107ED">
        <w:rPr>
          <w:rFonts w:cstheme="minorHAnsi"/>
          <w:sz w:val="24"/>
          <w:szCs w:val="24"/>
        </w:rPr>
        <w:br w:type="page"/>
      </w:r>
    </w:p>
    <w:p w:rsidR="0015548D" w:rsidRPr="005107ED" w:rsidRDefault="007161D0" w:rsidP="00922EB8">
      <w:pPr>
        <w:pStyle w:val="Title"/>
        <w:rPr>
          <w:rFonts w:asciiTheme="minorHAnsi" w:hAnsiTheme="minorHAnsi" w:cstheme="minorHAnsi"/>
        </w:rPr>
      </w:pPr>
      <w:r w:rsidRPr="005107ED">
        <w:rPr>
          <w:rFonts w:asciiTheme="minorHAnsi" w:hAnsiTheme="minorHAnsi" w:cstheme="minorHAnsi"/>
        </w:rPr>
        <w:t xml:space="preserve">Fund 1 </w:t>
      </w:r>
      <w:r w:rsidR="00137CA7" w:rsidRPr="005107ED">
        <w:rPr>
          <w:rFonts w:asciiTheme="minorHAnsi" w:hAnsiTheme="minorHAnsi" w:cstheme="minorHAnsi"/>
        </w:rPr>
        <w:t>Budget Proposal</w:t>
      </w:r>
      <w:r w:rsidR="0015548D" w:rsidRPr="005107ED">
        <w:rPr>
          <w:rFonts w:asciiTheme="minorHAnsi" w:hAnsiTheme="minorHAnsi" w:cstheme="minorHAnsi"/>
        </w:rPr>
        <w:t xml:space="preserve"> </w:t>
      </w:r>
      <w:r w:rsidRPr="005107ED">
        <w:rPr>
          <w:rFonts w:asciiTheme="minorHAnsi" w:hAnsiTheme="minorHAnsi" w:cstheme="minorHAnsi"/>
        </w:rPr>
        <w:t>2019-20</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50"/>
        <w:gridCol w:w="1355"/>
        <w:gridCol w:w="1350"/>
        <w:gridCol w:w="1435"/>
        <w:gridCol w:w="1620"/>
      </w:tblGrid>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 </w:t>
            </w:r>
          </w:p>
        </w:tc>
        <w:tc>
          <w:tcPr>
            <w:tcW w:w="135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2016-2017</w:t>
            </w:r>
          </w:p>
        </w:tc>
        <w:tc>
          <w:tcPr>
            <w:tcW w:w="1355"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2017-2018</w:t>
            </w:r>
          </w:p>
        </w:tc>
        <w:tc>
          <w:tcPr>
            <w:tcW w:w="1350" w:type="dxa"/>
            <w:shd w:val="clear" w:color="auto" w:fill="auto"/>
            <w:noWrap/>
            <w:vAlign w:val="bottom"/>
            <w:hideMark/>
          </w:tcPr>
          <w:p w:rsidR="00137CA7" w:rsidRPr="005107ED" w:rsidRDefault="007161D0"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2018-2019</w:t>
            </w:r>
          </w:p>
        </w:tc>
        <w:tc>
          <w:tcPr>
            <w:tcW w:w="1435" w:type="dxa"/>
            <w:shd w:val="clear" w:color="auto" w:fill="auto"/>
            <w:noWrap/>
            <w:vAlign w:val="bottom"/>
            <w:hideMark/>
          </w:tcPr>
          <w:p w:rsidR="00137CA7" w:rsidRPr="005107ED" w:rsidRDefault="007161D0"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2019-2020</w:t>
            </w:r>
          </w:p>
        </w:tc>
        <w:tc>
          <w:tcPr>
            <w:tcW w:w="162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 </w:t>
            </w:r>
          </w:p>
        </w:tc>
      </w:tr>
      <w:tr w:rsidR="00137CA7" w:rsidRPr="005107ED" w:rsidTr="00DF56A1">
        <w:trPr>
          <w:trHeight w:val="638"/>
        </w:trPr>
        <w:tc>
          <w:tcPr>
            <w:tcW w:w="188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Description</w:t>
            </w:r>
          </w:p>
        </w:tc>
        <w:tc>
          <w:tcPr>
            <w:tcW w:w="135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Budget</w:t>
            </w:r>
          </w:p>
        </w:tc>
        <w:tc>
          <w:tcPr>
            <w:tcW w:w="1355"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Budget</w:t>
            </w:r>
          </w:p>
        </w:tc>
        <w:tc>
          <w:tcPr>
            <w:tcW w:w="1350" w:type="dxa"/>
            <w:shd w:val="clear" w:color="auto" w:fill="auto"/>
            <w:noWrap/>
            <w:vAlign w:val="bottom"/>
            <w:hideMark/>
          </w:tcPr>
          <w:p w:rsidR="00137CA7" w:rsidRPr="005107ED" w:rsidRDefault="007161D0"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Budget</w:t>
            </w:r>
          </w:p>
        </w:tc>
        <w:tc>
          <w:tcPr>
            <w:tcW w:w="1435"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Request</w:t>
            </w:r>
          </w:p>
        </w:tc>
        <w:tc>
          <w:tcPr>
            <w:tcW w:w="162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r w:rsidRPr="005107ED">
              <w:rPr>
                <w:rFonts w:eastAsia="Times New Roman" w:cstheme="minorHAnsi"/>
                <w:sz w:val="24"/>
                <w:szCs w:val="24"/>
              </w:rPr>
              <w:t>Am</w:t>
            </w:r>
            <w:r w:rsidR="00B248EF" w:rsidRPr="005107ED">
              <w:rPr>
                <w:rFonts w:eastAsia="Times New Roman" w:cstheme="minorHAnsi"/>
                <w:sz w:val="24"/>
                <w:szCs w:val="24"/>
              </w:rPr>
              <w:t>oun</w:t>
            </w:r>
            <w:r w:rsidRPr="005107ED">
              <w:rPr>
                <w:rFonts w:eastAsia="Times New Roman" w:cstheme="minorHAnsi"/>
                <w:sz w:val="24"/>
                <w:szCs w:val="24"/>
              </w:rPr>
              <w:t>t increased</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Consultant</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$1,000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$0</w:t>
            </w:r>
          </w:p>
        </w:tc>
        <w:tc>
          <w:tcPr>
            <w:tcW w:w="1435"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$1,355</w:t>
            </w:r>
          </w:p>
        </w:tc>
        <w:tc>
          <w:tcPr>
            <w:tcW w:w="1620"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$1,355</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Travel</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$200</w:t>
            </w:r>
          </w:p>
        </w:tc>
        <w:tc>
          <w:tcPr>
            <w:tcW w:w="1435"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$3,400</w:t>
            </w:r>
          </w:p>
        </w:tc>
        <w:tc>
          <w:tcPr>
            <w:tcW w:w="1620"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$3,200</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Meals</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$500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$0</w:t>
            </w:r>
          </w:p>
        </w:tc>
        <w:tc>
          <w:tcPr>
            <w:tcW w:w="1435"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$320</w:t>
            </w:r>
          </w:p>
        </w:tc>
        <w:tc>
          <w:tcPr>
            <w:tcW w:w="1620"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$320</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Program Supplies</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$2,500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$100</w:t>
            </w:r>
          </w:p>
        </w:tc>
        <w:tc>
          <w:tcPr>
            <w:tcW w:w="1435"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$490</w:t>
            </w:r>
          </w:p>
        </w:tc>
        <w:tc>
          <w:tcPr>
            <w:tcW w:w="162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w:t>
            </w:r>
            <w:r w:rsidR="00FA0E5A" w:rsidRPr="005107ED">
              <w:rPr>
                <w:rFonts w:eastAsia="Times New Roman" w:cstheme="minorHAnsi"/>
                <w:sz w:val="24"/>
                <w:szCs w:val="24"/>
              </w:rPr>
              <w:t>39</w:t>
            </w:r>
            <w:r w:rsidRPr="005107ED">
              <w:rPr>
                <w:rFonts w:eastAsia="Times New Roman" w:cstheme="minorHAnsi"/>
                <w:sz w:val="24"/>
                <w:szCs w:val="24"/>
              </w:rPr>
              <w:t>0</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Office Supplies</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$300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$100</w:t>
            </w:r>
          </w:p>
        </w:tc>
        <w:tc>
          <w:tcPr>
            <w:tcW w:w="1435"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$100</w:t>
            </w:r>
          </w:p>
        </w:tc>
        <w:tc>
          <w:tcPr>
            <w:tcW w:w="1620" w:type="dxa"/>
            <w:shd w:val="clear" w:color="auto" w:fill="auto"/>
            <w:noWrap/>
            <w:vAlign w:val="bottom"/>
            <w:hideMark/>
          </w:tcPr>
          <w:p w:rsidR="00137CA7" w:rsidRPr="005107ED" w:rsidRDefault="00FA0E5A"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$0</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rPr>
                <w:rFonts w:eastAsia="Times New Roman" w:cstheme="minorHAnsi"/>
                <w:sz w:val="24"/>
                <w:szCs w:val="24"/>
              </w:rPr>
            </w:pPr>
            <w:r w:rsidRPr="005107ED">
              <w:rPr>
                <w:rFonts w:eastAsia="Times New Roman" w:cstheme="minorHAnsi"/>
                <w:sz w:val="24"/>
                <w:szCs w:val="24"/>
              </w:rPr>
              <w:t> </w:t>
            </w:r>
          </w:p>
        </w:tc>
        <w:tc>
          <w:tcPr>
            <w:tcW w:w="1350"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 </w:t>
            </w:r>
          </w:p>
        </w:tc>
        <w:tc>
          <w:tcPr>
            <w:tcW w:w="1355"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 </w:t>
            </w:r>
          </w:p>
        </w:tc>
        <w:tc>
          <w:tcPr>
            <w:tcW w:w="1350"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 </w:t>
            </w:r>
          </w:p>
        </w:tc>
        <w:tc>
          <w:tcPr>
            <w:tcW w:w="1435"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 </w:t>
            </w:r>
          </w:p>
        </w:tc>
        <w:tc>
          <w:tcPr>
            <w:tcW w:w="1620"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 </w:t>
            </w:r>
          </w:p>
        </w:tc>
      </w:tr>
      <w:tr w:rsidR="00137CA7" w:rsidRPr="005107ED" w:rsidTr="00DF56A1">
        <w:trPr>
          <w:trHeight w:val="319"/>
        </w:trPr>
        <w:tc>
          <w:tcPr>
            <w:tcW w:w="1880" w:type="dxa"/>
            <w:shd w:val="clear" w:color="auto" w:fill="auto"/>
            <w:noWrap/>
            <w:vAlign w:val="bottom"/>
            <w:hideMark/>
          </w:tcPr>
          <w:p w:rsidR="00137CA7" w:rsidRPr="005107ED" w:rsidRDefault="00137CA7" w:rsidP="004B2FF5">
            <w:pPr>
              <w:spacing w:after="0" w:line="240" w:lineRule="auto"/>
              <w:contextualSpacing/>
              <w:jc w:val="center"/>
              <w:rPr>
                <w:rFonts w:eastAsia="Times New Roman" w:cstheme="minorHAnsi"/>
                <w:sz w:val="24"/>
                <w:szCs w:val="24"/>
              </w:rPr>
            </w:pP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$9,500</w:t>
            </w:r>
          </w:p>
        </w:tc>
        <w:tc>
          <w:tcPr>
            <w:tcW w:w="1355"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$4,300</w:t>
            </w:r>
          </w:p>
        </w:tc>
        <w:tc>
          <w:tcPr>
            <w:tcW w:w="1350" w:type="dxa"/>
            <w:shd w:val="clear" w:color="auto" w:fill="auto"/>
            <w:noWrap/>
            <w:vAlign w:val="bottom"/>
            <w:hideMark/>
          </w:tcPr>
          <w:p w:rsidR="00137CA7" w:rsidRPr="005107ED" w:rsidRDefault="007161D0"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$400</w:t>
            </w:r>
          </w:p>
        </w:tc>
        <w:tc>
          <w:tcPr>
            <w:tcW w:w="1435"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w:t>
            </w:r>
            <w:r w:rsidR="00FA0E5A" w:rsidRPr="005107ED">
              <w:rPr>
                <w:rFonts w:eastAsia="Times New Roman" w:cstheme="minorHAnsi"/>
                <w:sz w:val="24"/>
                <w:szCs w:val="24"/>
              </w:rPr>
              <w:t>5,665</w:t>
            </w:r>
          </w:p>
        </w:tc>
        <w:tc>
          <w:tcPr>
            <w:tcW w:w="1620" w:type="dxa"/>
            <w:shd w:val="clear" w:color="auto" w:fill="auto"/>
            <w:noWrap/>
            <w:vAlign w:val="bottom"/>
            <w:hideMark/>
          </w:tcPr>
          <w:p w:rsidR="00137CA7" w:rsidRPr="005107ED" w:rsidRDefault="00137CA7" w:rsidP="004B2FF5">
            <w:pPr>
              <w:spacing w:after="0" w:line="240" w:lineRule="auto"/>
              <w:contextualSpacing/>
              <w:jc w:val="right"/>
              <w:rPr>
                <w:rFonts w:eastAsia="Times New Roman" w:cstheme="minorHAnsi"/>
                <w:sz w:val="24"/>
                <w:szCs w:val="24"/>
              </w:rPr>
            </w:pPr>
            <w:r w:rsidRPr="005107ED">
              <w:rPr>
                <w:rFonts w:eastAsia="Times New Roman" w:cstheme="minorHAnsi"/>
                <w:sz w:val="24"/>
                <w:szCs w:val="24"/>
              </w:rPr>
              <w:t>$</w:t>
            </w:r>
            <w:r w:rsidR="00FA0E5A" w:rsidRPr="005107ED">
              <w:rPr>
                <w:rFonts w:eastAsia="Times New Roman" w:cstheme="minorHAnsi"/>
                <w:sz w:val="24"/>
                <w:szCs w:val="24"/>
              </w:rPr>
              <w:t>5,265</w:t>
            </w:r>
          </w:p>
        </w:tc>
      </w:tr>
    </w:tbl>
    <w:p w:rsidR="00382D21" w:rsidRPr="005107ED" w:rsidRDefault="00382D21" w:rsidP="004B2FF5">
      <w:pPr>
        <w:spacing w:line="240" w:lineRule="auto"/>
        <w:contextualSpacing/>
        <w:jc w:val="center"/>
        <w:rPr>
          <w:rFonts w:cstheme="minorHAnsi"/>
          <w:sz w:val="24"/>
          <w:szCs w:val="24"/>
        </w:rPr>
      </w:pPr>
    </w:p>
    <w:p w:rsidR="009B2716" w:rsidRPr="005107ED" w:rsidRDefault="009B2716" w:rsidP="004B2FF5">
      <w:pPr>
        <w:spacing w:line="240" w:lineRule="auto"/>
        <w:contextualSpacing/>
        <w:rPr>
          <w:rFonts w:cstheme="minorHAnsi"/>
          <w:b/>
          <w:sz w:val="24"/>
          <w:szCs w:val="24"/>
        </w:rPr>
      </w:pPr>
      <w:r w:rsidRPr="005107ED">
        <w:rPr>
          <w:rFonts w:cstheme="minorHAnsi"/>
          <w:b/>
          <w:sz w:val="24"/>
          <w:szCs w:val="24"/>
        </w:rPr>
        <w:t>***Important Note</w:t>
      </w:r>
      <w:r w:rsidR="0003223E" w:rsidRPr="005107ED">
        <w:rPr>
          <w:rFonts w:cstheme="minorHAnsi"/>
          <w:b/>
          <w:sz w:val="24"/>
          <w:szCs w:val="24"/>
        </w:rPr>
        <w:t>s</w:t>
      </w:r>
      <w:r w:rsidRPr="005107ED">
        <w:rPr>
          <w:rFonts w:cstheme="minorHAnsi"/>
          <w:b/>
          <w:sz w:val="24"/>
          <w:szCs w:val="24"/>
        </w:rPr>
        <w:t>***</w:t>
      </w:r>
    </w:p>
    <w:p w:rsidR="009B2716" w:rsidRPr="005107ED" w:rsidRDefault="009B2716" w:rsidP="004B2FF5">
      <w:pPr>
        <w:spacing w:line="240" w:lineRule="auto"/>
        <w:contextualSpacing/>
        <w:rPr>
          <w:rFonts w:cstheme="minorHAnsi"/>
          <w:sz w:val="24"/>
          <w:szCs w:val="24"/>
        </w:rPr>
      </w:pPr>
      <w:r w:rsidRPr="005107ED">
        <w:rPr>
          <w:rFonts w:cstheme="minorHAnsi"/>
          <w:sz w:val="24"/>
          <w:szCs w:val="24"/>
        </w:rPr>
        <w:t>It seems highly unlikely MHU will fulfill this budget request, or come anywhere near doing so. Most of CFE’s</w:t>
      </w:r>
      <w:r w:rsidR="003C7FED" w:rsidRPr="005107ED">
        <w:rPr>
          <w:rFonts w:cstheme="minorHAnsi"/>
          <w:sz w:val="24"/>
          <w:szCs w:val="24"/>
        </w:rPr>
        <w:t xml:space="preserve"> funding this year came from</w:t>
      </w:r>
      <w:r w:rsidRPr="005107ED">
        <w:rPr>
          <w:rFonts w:cstheme="minorHAnsi"/>
          <w:sz w:val="24"/>
          <w:szCs w:val="24"/>
        </w:rPr>
        <w:t xml:space="preserve"> its endowment</w:t>
      </w:r>
      <w:r w:rsidR="003C7FED" w:rsidRPr="005107ED">
        <w:rPr>
          <w:rFonts w:cstheme="minorHAnsi"/>
          <w:sz w:val="24"/>
          <w:szCs w:val="24"/>
        </w:rPr>
        <w:t xml:space="preserve"> ($1946.80</w:t>
      </w:r>
      <w:r w:rsidR="00EA3133" w:rsidRPr="005107ED">
        <w:rPr>
          <w:rFonts w:cstheme="minorHAnsi"/>
          <w:sz w:val="24"/>
          <w:szCs w:val="24"/>
        </w:rPr>
        <w:t xml:space="preserve"> to date plus about $500 imminent expenses</w:t>
      </w:r>
      <w:r w:rsidR="003C7FED" w:rsidRPr="005107ED">
        <w:rPr>
          <w:rFonts w:cstheme="minorHAnsi"/>
          <w:sz w:val="24"/>
          <w:szCs w:val="24"/>
        </w:rPr>
        <w:t xml:space="preserve">). Most of </w:t>
      </w:r>
      <w:r w:rsidR="006209E7" w:rsidRPr="005107ED">
        <w:rPr>
          <w:rFonts w:cstheme="minorHAnsi"/>
          <w:sz w:val="24"/>
          <w:szCs w:val="24"/>
        </w:rPr>
        <w:t xml:space="preserve">the </w:t>
      </w:r>
      <w:r w:rsidR="003C7FED" w:rsidRPr="005107ED">
        <w:rPr>
          <w:rFonts w:cstheme="minorHAnsi"/>
          <w:sz w:val="24"/>
          <w:szCs w:val="24"/>
        </w:rPr>
        <w:t xml:space="preserve">CFE’s funding will likely come from the </w:t>
      </w:r>
      <w:r w:rsidR="006209E7" w:rsidRPr="005107ED">
        <w:rPr>
          <w:rFonts w:cstheme="minorHAnsi"/>
          <w:sz w:val="24"/>
          <w:szCs w:val="24"/>
        </w:rPr>
        <w:t>Kelly E</w:t>
      </w:r>
      <w:r w:rsidR="003C7FED" w:rsidRPr="005107ED">
        <w:rPr>
          <w:rFonts w:cstheme="minorHAnsi"/>
          <w:sz w:val="24"/>
          <w:szCs w:val="24"/>
        </w:rPr>
        <w:t>ndowment next year.</w:t>
      </w:r>
      <w:r w:rsidRPr="005107ED">
        <w:rPr>
          <w:rFonts w:cstheme="minorHAnsi"/>
          <w:sz w:val="24"/>
          <w:szCs w:val="24"/>
        </w:rPr>
        <w:t xml:space="preserve"> However, VP of Finance Neil Tilley instructed me</w:t>
      </w:r>
      <w:r w:rsidR="00D74143" w:rsidRPr="005107ED">
        <w:rPr>
          <w:rFonts w:cstheme="minorHAnsi"/>
          <w:sz w:val="24"/>
          <w:szCs w:val="24"/>
        </w:rPr>
        <w:t xml:space="preserve"> </w:t>
      </w:r>
      <w:r w:rsidRPr="005107ED">
        <w:rPr>
          <w:rFonts w:cstheme="minorHAnsi"/>
          <w:sz w:val="24"/>
          <w:szCs w:val="24"/>
        </w:rPr>
        <w:t xml:space="preserve">to treat </w:t>
      </w:r>
      <w:r w:rsidR="006F6C6E" w:rsidRPr="005107ED">
        <w:rPr>
          <w:rFonts w:cstheme="minorHAnsi"/>
          <w:sz w:val="24"/>
          <w:szCs w:val="24"/>
        </w:rPr>
        <w:t xml:space="preserve">those funds as </w:t>
      </w:r>
      <w:r w:rsidR="003C7FED" w:rsidRPr="005107ED">
        <w:rPr>
          <w:rFonts w:cstheme="minorHAnsi"/>
          <w:sz w:val="24"/>
          <w:szCs w:val="24"/>
        </w:rPr>
        <w:t>supplementary</w:t>
      </w:r>
      <w:r w:rsidR="006209E7" w:rsidRPr="005107ED">
        <w:rPr>
          <w:rFonts w:cstheme="minorHAnsi"/>
          <w:sz w:val="24"/>
          <w:szCs w:val="24"/>
        </w:rPr>
        <w:t>.</w:t>
      </w:r>
      <w:r w:rsidR="003C7FED" w:rsidRPr="005107ED">
        <w:rPr>
          <w:rFonts w:cstheme="minorHAnsi"/>
          <w:sz w:val="24"/>
          <w:szCs w:val="24"/>
        </w:rPr>
        <w:t xml:space="preserve"> Hence, e</w:t>
      </w:r>
      <w:r w:rsidR="00680A3B" w:rsidRPr="005107ED">
        <w:rPr>
          <w:rFonts w:cstheme="minorHAnsi"/>
          <w:sz w:val="24"/>
          <w:szCs w:val="24"/>
        </w:rPr>
        <w:t>ndowment funding does not appear</w:t>
      </w:r>
      <w:r w:rsidR="003C7FED" w:rsidRPr="005107ED">
        <w:rPr>
          <w:rFonts w:cstheme="minorHAnsi"/>
          <w:sz w:val="24"/>
          <w:szCs w:val="24"/>
        </w:rPr>
        <w:t xml:space="preserve"> in this </w:t>
      </w:r>
      <w:r w:rsidR="00680A3B" w:rsidRPr="005107ED">
        <w:rPr>
          <w:rFonts w:cstheme="minorHAnsi"/>
          <w:sz w:val="24"/>
          <w:szCs w:val="24"/>
        </w:rPr>
        <w:t xml:space="preserve">budget </w:t>
      </w:r>
      <w:r w:rsidR="003C7FED" w:rsidRPr="005107ED">
        <w:rPr>
          <w:rFonts w:cstheme="minorHAnsi"/>
          <w:sz w:val="24"/>
          <w:szCs w:val="24"/>
        </w:rPr>
        <w:t xml:space="preserve">proposal. </w:t>
      </w:r>
    </w:p>
    <w:p w:rsidR="009B2716" w:rsidRPr="005107ED" w:rsidRDefault="009B2716" w:rsidP="004B2FF5">
      <w:pPr>
        <w:spacing w:line="240" w:lineRule="auto"/>
        <w:contextualSpacing/>
        <w:rPr>
          <w:rFonts w:cstheme="minorHAnsi"/>
          <w:b/>
          <w:sz w:val="24"/>
          <w:szCs w:val="24"/>
        </w:rPr>
      </w:pPr>
    </w:p>
    <w:p w:rsidR="0081330C" w:rsidRPr="005107ED" w:rsidRDefault="0081330C" w:rsidP="004B2FF5">
      <w:pPr>
        <w:spacing w:line="240" w:lineRule="auto"/>
        <w:contextualSpacing/>
        <w:rPr>
          <w:rFonts w:cstheme="minorHAnsi"/>
          <w:b/>
          <w:sz w:val="24"/>
          <w:szCs w:val="24"/>
        </w:rPr>
      </w:pPr>
      <w:r w:rsidRPr="005107ED">
        <w:rPr>
          <w:rFonts w:cstheme="minorHAnsi"/>
          <w:b/>
          <w:sz w:val="24"/>
          <w:szCs w:val="24"/>
        </w:rPr>
        <w:t>Consultant: $</w:t>
      </w:r>
      <w:r w:rsidR="0049565A" w:rsidRPr="005107ED">
        <w:rPr>
          <w:rFonts w:cstheme="minorHAnsi"/>
          <w:b/>
          <w:sz w:val="24"/>
          <w:szCs w:val="24"/>
        </w:rPr>
        <w:t>1,355</w:t>
      </w:r>
    </w:p>
    <w:p w:rsidR="000E62B4" w:rsidRPr="005107ED" w:rsidRDefault="000E62B4" w:rsidP="004B2FF5">
      <w:pPr>
        <w:spacing w:line="240" w:lineRule="auto"/>
        <w:contextualSpacing/>
        <w:rPr>
          <w:rFonts w:cstheme="minorHAnsi"/>
          <w:sz w:val="24"/>
          <w:szCs w:val="24"/>
        </w:rPr>
      </w:pPr>
      <w:r w:rsidRPr="005107ED">
        <w:rPr>
          <w:rFonts w:cstheme="minorHAnsi"/>
          <w:sz w:val="24"/>
          <w:szCs w:val="24"/>
        </w:rPr>
        <w:t>This amount covers a consultant’s honorarium (usually around $1000) plus travel expenses, meals, and lodging. The consultant’s role is usually pedagogical; he or she introduces new teaching methods or theories related to the institutional SLO that university is focusing on at that time</w:t>
      </w:r>
      <w:r w:rsidR="006209E7" w:rsidRPr="005107ED">
        <w:rPr>
          <w:rFonts w:cstheme="minorHAnsi"/>
          <w:sz w:val="24"/>
          <w:szCs w:val="24"/>
        </w:rPr>
        <w:t xml:space="preserve"> and ethics education</w:t>
      </w:r>
      <w:r w:rsidRPr="005107ED">
        <w:rPr>
          <w:rFonts w:cstheme="minorHAnsi"/>
          <w:sz w:val="24"/>
          <w:szCs w:val="24"/>
        </w:rPr>
        <w:t xml:space="preserve">. </w:t>
      </w:r>
    </w:p>
    <w:p w:rsidR="0081330C" w:rsidRPr="005107ED" w:rsidRDefault="0081330C" w:rsidP="004B2FF5">
      <w:pPr>
        <w:spacing w:line="240" w:lineRule="auto"/>
        <w:contextualSpacing/>
        <w:rPr>
          <w:rFonts w:cstheme="minorHAnsi"/>
          <w:sz w:val="24"/>
          <w:szCs w:val="24"/>
        </w:rPr>
      </w:pPr>
    </w:p>
    <w:p w:rsidR="0081330C" w:rsidRPr="005107ED" w:rsidRDefault="0049565A" w:rsidP="004B2FF5">
      <w:pPr>
        <w:spacing w:line="240" w:lineRule="auto"/>
        <w:contextualSpacing/>
        <w:rPr>
          <w:rFonts w:cstheme="minorHAnsi"/>
          <w:b/>
          <w:sz w:val="24"/>
          <w:szCs w:val="24"/>
        </w:rPr>
      </w:pPr>
      <w:r w:rsidRPr="005107ED">
        <w:rPr>
          <w:rFonts w:cstheme="minorHAnsi"/>
          <w:b/>
          <w:sz w:val="24"/>
          <w:szCs w:val="24"/>
        </w:rPr>
        <w:t>Travel: $3,400</w:t>
      </w:r>
    </w:p>
    <w:p w:rsidR="006E785B" w:rsidRPr="005107ED" w:rsidRDefault="0049565A" w:rsidP="004B2FF5">
      <w:pPr>
        <w:spacing w:line="240" w:lineRule="auto"/>
        <w:contextualSpacing/>
        <w:rPr>
          <w:rFonts w:cstheme="minorHAnsi"/>
          <w:sz w:val="24"/>
          <w:szCs w:val="24"/>
        </w:rPr>
      </w:pPr>
      <w:r w:rsidRPr="005107ED">
        <w:rPr>
          <w:rFonts w:cstheme="minorHAnsi"/>
          <w:sz w:val="24"/>
          <w:szCs w:val="24"/>
        </w:rPr>
        <w:t xml:space="preserve">Travel funds support 1) citizen engagement trips and 2) my professional development. Citizen engagement trips usually take one of two forms. Either they involve sending students to </w:t>
      </w:r>
      <w:r w:rsidR="000E62B4" w:rsidRPr="005107ED">
        <w:rPr>
          <w:rFonts w:cstheme="minorHAnsi"/>
          <w:sz w:val="24"/>
          <w:szCs w:val="24"/>
        </w:rPr>
        <w:t xml:space="preserve">national </w:t>
      </w:r>
      <w:r w:rsidRPr="005107ED">
        <w:rPr>
          <w:rFonts w:cstheme="minorHAnsi"/>
          <w:sz w:val="24"/>
          <w:szCs w:val="24"/>
        </w:rPr>
        <w:t xml:space="preserve">historical sites to learn </w:t>
      </w:r>
      <w:r w:rsidR="006209E7" w:rsidRPr="005107ED">
        <w:rPr>
          <w:rFonts w:cstheme="minorHAnsi"/>
          <w:sz w:val="24"/>
          <w:szCs w:val="24"/>
        </w:rPr>
        <w:t>about the ethical challenges our country has faced</w:t>
      </w:r>
      <w:r w:rsidR="000E62B4" w:rsidRPr="005107ED">
        <w:rPr>
          <w:rFonts w:cstheme="minorHAnsi"/>
          <w:sz w:val="24"/>
          <w:szCs w:val="24"/>
        </w:rPr>
        <w:t xml:space="preserve"> and still face</w:t>
      </w:r>
      <w:r w:rsidR="006209E7" w:rsidRPr="005107ED">
        <w:rPr>
          <w:rFonts w:cstheme="minorHAnsi"/>
          <w:sz w:val="24"/>
          <w:szCs w:val="24"/>
        </w:rPr>
        <w:t>s</w:t>
      </w:r>
      <w:r w:rsidR="006E785B" w:rsidRPr="005107ED">
        <w:rPr>
          <w:rFonts w:cstheme="minorHAnsi"/>
          <w:sz w:val="24"/>
          <w:szCs w:val="24"/>
        </w:rPr>
        <w:t xml:space="preserve">, or </w:t>
      </w:r>
      <w:r w:rsidRPr="005107ED">
        <w:rPr>
          <w:rFonts w:cstheme="minorHAnsi"/>
          <w:sz w:val="24"/>
          <w:szCs w:val="24"/>
        </w:rPr>
        <w:t>students take trips to centers of legislative power (Washington, D.C., Raleigh, NC)</w:t>
      </w:r>
      <w:r w:rsidR="006E785B" w:rsidRPr="005107ED">
        <w:rPr>
          <w:rFonts w:cstheme="minorHAnsi"/>
          <w:sz w:val="24"/>
          <w:szCs w:val="24"/>
        </w:rPr>
        <w:t xml:space="preserve">, so they can </w:t>
      </w:r>
      <w:r w:rsidRPr="005107ED">
        <w:rPr>
          <w:rFonts w:cstheme="minorHAnsi"/>
          <w:sz w:val="24"/>
          <w:szCs w:val="24"/>
        </w:rPr>
        <w:t xml:space="preserve">learn how to participate civilly and effectively in the democratic process. </w:t>
      </w:r>
    </w:p>
    <w:p w:rsidR="006E785B" w:rsidRPr="005107ED" w:rsidRDefault="006E785B" w:rsidP="004B2FF5">
      <w:pPr>
        <w:spacing w:line="240" w:lineRule="auto"/>
        <w:contextualSpacing/>
        <w:rPr>
          <w:rFonts w:cstheme="minorHAnsi"/>
          <w:sz w:val="24"/>
          <w:szCs w:val="24"/>
        </w:rPr>
      </w:pPr>
    </w:p>
    <w:p w:rsidR="0081330C" w:rsidRPr="005107ED" w:rsidRDefault="006E785B" w:rsidP="004B2FF5">
      <w:pPr>
        <w:spacing w:line="240" w:lineRule="auto"/>
        <w:contextualSpacing/>
        <w:rPr>
          <w:rFonts w:cstheme="minorHAnsi"/>
          <w:sz w:val="24"/>
          <w:szCs w:val="24"/>
        </w:rPr>
      </w:pPr>
      <w:r w:rsidRPr="005107ED">
        <w:rPr>
          <w:rFonts w:cstheme="minorHAnsi"/>
          <w:sz w:val="24"/>
          <w:szCs w:val="24"/>
        </w:rPr>
        <w:t>I use travel funds to participate in</w:t>
      </w:r>
      <w:r w:rsidR="0081330C" w:rsidRPr="005107ED">
        <w:rPr>
          <w:rFonts w:cstheme="minorHAnsi"/>
          <w:sz w:val="24"/>
          <w:szCs w:val="24"/>
        </w:rPr>
        <w:t xml:space="preserve"> one of two yearly professional development conferences pertinent to the Center for Ethics’ work: The Society for Ethics Across the Curriculum (SEAC) and The Association for Practical and Professional Ethics (APPE). </w:t>
      </w:r>
    </w:p>
    <w:p w:rsidR="0081330C" w:rsidRPr="005107ED" w:rsidRDefault="0081330C" w:rsidP="004B2FF5">
      <w:pPr>
        <w:spacing w:line="240" w:lineRule="auto"/>
        <w:contextualSpacing/>
        <w:rPr>
          <w:rFonts w:cstheme="minorHAnsi"/>
          <w:sz w:val="24"/>
          <w:szCs w:val="24"/>
        </w:rPr>
      </w:pPr>
    </w:p>
    <w:p w:rsidR="0081330C" w:rsidRPr="005107ED" w:rsidRDefault="000E62B4" w:rsidP="004B2FF5">
      <w:pPr>
        <w:spacing w:line="240" w:lineRule="auto"/>
        <w:contextualSpacing/>
        <w:rPr>
          <w:rFonts w:cstheme="minorHAnsi"/>
          <w:b/>
          <w:sz w:val="24"/>
          <w:szCs w:val="24"/>
        </w:rPr>
      </w:pPr>
      <w:r w:rsidRPr="005107ED">
        <w:rPr>
          <w:rFonts w:cstheme="minorHAnsi"/>
          <w:b/>
          <w:sz w:val="24"/>
          <w:szCs w:val="24"/>
        </w:rPr>
        <w:t>Meals: $320</w:t>
      </w:r>
    </w:p>
    <w:p w:rsidR="0081330C" w:rsidRPr="005107ED" w:rsidRDefault="0003223E" w:rsidP="004B2FF5">
      <w:pPr>
        <w:spacing w:line="240" w:lineRule="auto"/>
        <w:contextualSpacing/>
        <w:rPr>
          <w:rFonts w:cstheme="minorHAnsi"/>
          <w:sz w:val="24"/>
          <w:szCs w:val="24"/>
        </w:rPr>
      </w:pPr>
      <w:r w:rsidRPr="005107ED">
        <w:rPr>
          <w:rFonts w:cstheme="minorHAnsi"/>
          <w:sz w:val="24"/>
          <w:szCs w:val="24"/>
        </w:rPr>
        <w:t>This s</w:t>
      </w:r>
      <w:r w:rsidR="006209E7" w:rsidRPr="005107ED">
        <w:rPr>
          <w:rFonts w:cstheme="minorHAnsi"/>
          <w:sz w:val="24"/>
          <w:szCs w:val="24"/>
        </w:rPr>
        <w:t>um covers a meal for fourteen</w:t>
      </w:r>
      <w:r w:rsidRPr="005107ED">
        <w:rPr>
          <w:rFonts w:cstheme="minorHAnsi"/>
          <w:sz w:val="24"/>
          <w:szCs w:val="24"/>
        </w:rPr>
        <w:t xml:space="preserve"> FYS 112 instructors during a 4-hour long end of year workshop and taking students to coffee to discuss CFE programming. </w:t>
      </w:r>
    </w:p>
    <w:p w:rsidR="0003223E" w:rsidRPr="005107ED" w:rsidRDefault="0003223E" w:rsidP="004B2FF5">
      <w:pPr>
        <w:spacing w:line="240" w:lineRule="auto"/>
        <w:contextualSpacing/>
        <w:rPr>
          <w:rFonts w:cstheme="minorHAnsi"/>
          <w:sz w:val="24"/>
          <w:szCs w:val="24"/>
        </w:rPr>
      </w:pPr>
    </w:p>
    <w:p w:rsidR="0081330C" w:rsidRPr="005107ED" w:rsidRDefault="000E62B4" w:rsidP="004B2FF5">
      <w:pPr>
        <w:spacing w:line="240" w:lineRule="auto"/>
        <w:contextualSpacing/>
        <w:rPr>
          <w:rFonts w:cstheme="minorHAnsi"/>
          <w:b/>
          <w:sz w:val="24"/>
          <w:szCs w:val="24"/>
        </w:rPr>
      </w:pPr>
      <w:r w:rsidRPr="005107ED">
        <w:rPr>
          <w:rFonts w:cstheme="minorHAnsi"/>
          <w:b/>
          <w:sz w:val="24"/>
          <w:szCs w:val="24"/>
        </w:rPr>
        <w:t>Program Supplies: $490</w:t>
      </w:r>
    </w:p>
    <w:p w:rsidR="0081330C" w:rsidRPr="005107ED" w:rsidRDefault="00680A3B" w:rsidP="004B2FF5">
      <w:pPr>
        <w:spacing w:line="240" w:lineRule="auto"/>
        <w:contextualSpacing/>
        <w:rPr>
          <w:rFonts w:cstheme="minorHAnsi"/>
          <w:sz w:val="24"/>
          <w:szCs w:val="24"/>
        </w:rPr>
      </w:pPr>
      <w:r w:rsidRPr="005107ED">
        <w:rPr>
          <w:rFonts w:cstheme="minorHAnsi"/>
          <w:sz w:val="24"/>
          <w:szCs w:val="24"/>
        </w:rPr>
        <w:t>Program supplies include books for new FYS 112 instructors, books for reading groups or</w:t>
      </w:r>
      <w:r w:rsidR="006209E7" w:rsidRPr="005107ED">
        <w:rPr>
          <w:rFonts w:cstheme="minorHAnsi"/>
          <w:sz w:val="24"/>
          <w:szCs w:val="24"/>
        </w:rPr>
        <w:t xml:space="preserve"> other student led activities</w:t>
      </w:r>
      <w:r w:rsidRPr="005107ED">
        <w:rPr>
          <w:rFonts w:cstheme="minorHAnsi"/>
          <w:sz w:val="24"/>
          <w:szCs w:val="24"/>
        </w:rPr>
        <w:t xml:space="preserve">, and snacks for meetings. </w:t>
      </w:r>
    </w:p>
    <w:p w:rsidR="00680A3B" w:rsidRPr="005107ED" w:rsidRDefault="00680A3B" w:rsidP="004B2FF5">
      <w:pPr>
        <w:spacing w:line="240" w:lineRule="auto"/>
        <w:contextualSpacing/>
        <w:rPr>
          <w:rFonts w:cstheme="minorHAnsi"/>
          <w:sz w:val="24"/>
          <w:szCs w:val="24"/>
        </w:rPr>
      </w:pPr>
    </w:p>
    <w:p w:rsidR="0081330C" w:rsidRPr="005107ED" w:rsidRDefault="000E62B4" w:rsidP="004B2FF5">
      <w:pPr>
        <w:spacing w:line="240" w:lineRule="auto"/>
        <w:contextualSpacing/>
        <w:rPr>
          <w:rFonts w:cstheme="minorHAnsi"/>
          <w:b/>
          <w:sz w:val="24"/>
          <w:szCs w:val="24"/>
        </w:rPr>
      </w:pPr>
      <w:r w:rsidRPr="005107ED">
        <w:rPr>
          <w:rFonts w:cstheme="minorHAnsi"/>
          <w:b/>
          <w:sz w:val="24"/>
          <w:szCs w:val="24"/>
        </w:rPr>
        <w:t>Office Supplies: $100</w:t>
      </w:r>
    </w:p>
    <w:p w:rsidR="0042461D" w:rsidRPr="005107ED" w:rsidRDefault="0081330C" w:rsidP="004B2FF5">
      <w:pPr>
        <w:spacing w:line="240" w:lineRule="auto"/>
        <w:contextualSpacing/>
        <w:rPr>
          <w:rFonts w:cstheme="minorHAnsi"/>
          <w:sz w:val="24"/>
          <w:szCs w:val="24"/>
        </w:rPr>
      </w:pPr>
      <w:r w:rsidRPr="005107ED">
        <w:rPr>
          <w:rFonts w:cstheme="minorHAnsi"/>
          <w:sz w:val="24"/>
          <w:szCs w:val="24"/>
        </w:rPr>
        <w:t>$</w:t>
      </w:r>
      <w:r w:rsidR="000E62B4" w:rsidRPr="005107ED">
        <w:rPr>
          <w:rFonts w:cstheme="minorHAnsi"/>
          <w:sz w:val="24"/>
          <w:szCs w:val="24"/>
        </w:rPr>
        <w:t xml:space="preserve">100 pays for a couple of flipcharts (surprisingly expensive) and markers for workshops. </w:t>
      </w:r>
      <w:r w:rsidRPr="005107ED">
        <w:rPr>
          <w:rFonts w:cstheme="minorHAnsi"/>
          <w:sz w:val="24"/>
          <w:szCs w:val="24"/>
        </w:rPr>
        <w:t xml:space="preserve"> </w:t>
      </w:r>
    </w:p>
    <w:p w:rsidR="0042461D" w:rsidRPr="005107ED" w:rsidRDefault="0042461D" w:rsidP="004B2FF5">
      <w:pPr>
        <w:spacing w:line="240" w:lineRule="auto"/>
        <w:contextualSpacing/>
        <w:rPr>
          <w:rFonts w:cstheme="minorHAnsi"/>
          <w:sz w:val="24"/>
          <w:szCs w:val="24"/>
        </w:rPr>
      </w:pPr>
      <w:r w:rsidRPr="005107ED">
        <w:rPr>
          <w:rFonts w:cstheme="minorHAnsi"/>
          <w:sz w:val="24"/>
          <w:szCs w:val="24"/>
        </w:rPr>
        <w:br w:type="page"/>
      </w:r>
    </w:p>
    <w:p w:rsidR="005E0495" w:rsidRPr="005107ED" w:rsidRDefault="006209E7" w:rsidP="006209E7">
      <w:pPr>
        <w:spacing w:line="240" w:lineRule="auto"/>
        <w:contextualSpacing/>
        <w:rPr>
          <w:rFonts w:cstheme="minorHAnsi"/>
          <w:sz w:val="56"/>
          <w:szCs w:val="56"/>
        </w:rPr>
      </w:pPr>
      <w:r w:rsidRPr="005107ED">
        <w:rPr>
          <w:rFonts w:cstheme="minorHAnsi"/>
          <w:sz w:val="56"/>
          <w:szCs w:val="56"/>
        </w:rPr>
        <w:t>Questions</w:t>
      </w:r>
    </w:p>
    <w:p w:rsidR="00257D8D" w:rsidRPr="005107ED" w:rsidRDefault="00257D8D" w:rsidP="004B2FF5">
      <w:pPr>
        <w:spacing w:line="240" w:lineRule="auto"/>
        <w:contextualSpacing/>
        <w:rPr>
          <w:rFonts w:cstheme="minorHAnsi"/>
          <w:sz w:val="24"/>
          <w:szCs w:val="24"/>
        </w:rPr>
      </w:pPr>
      <w:r w:rsidRPr="005107ED">
        <w:rPr>
          <w:rFonts w:cstheme="minorHAnsi"/>
          <w:sz w:val="24"/>
          <w:szCs w:val="24"/>
        </w:rPr>
        <w:t xml:space="preserve">What does the phrase “Ethics Across the Curriculum Program” make you think of? What does the phrase “Ethics Across the Campus Program” make you think of? </w:t>
      </w: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r w:rsidRPr="005107ED">
        <w:rPr>
          <w:rFonts w:cstheme="minorHAnsi"/>
          <w:sz w:val="24"/>
          <w:szCs w:val="24"/>
        </w:rPr>
        <w:t>What should be the goals/content</w:t>
      </w:r>
      <w:r w:rsidR="009C7397" w:rsidRPr="005107ED">
        <w:rPr>
          <w:rFonts w:cstheme="minorHAnsi"/>
          <w:sz w:val="24"/>
          <w:szCs w:val="24"/>
        </w:rPr>
        <w:t>/themes</w:t>
      </w:r>
      <w:r w:rsidRPr="005107ED">
        <w:rPr>
          <w:rFonts w:cstheme="minorHAnsi"/>
          <w:sz w:val="24"/>
          <w:szCs w:val="24"/>
        </w:rPr>
        <w:t xml:space="preserve"> of an ethics across the curriculum program? </w:t>
      </w: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r w:rsidRPr="005107ED">
        <w:rPr>
          <w:rFonts w:cstheme="minorHAnsi"/>
          <w:sz w:val="24"/>
          <w:szCs w:val="24"/>
        </w:rPr>
        <w:t xml:space="preserve">Which programs/departments need to play a role in building the ethics across the curriculum program? </w:t>
      </w: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r w:rsidRPr="005107ED">
        <w:rPr>
          <w:rFonts w:cstheme="minorHAnsi"/>
          <w:sz w:val="24"/>
          <w:szCs w:val="24"/>
        </w:rPr>
        <w:t xml:space="preserve">What else might we call the program? What </w:t>
      </w:r>
      <w:r w:rsidR="009C7397" w:rsidRPr="005107ED">
        <w:rPr>
          <w:rFonts w:cstheme="minorHAnsi"/>
          <w:sz w:val="24"/>
          <w:szCs w:val="24"/>
        </w:rPr>
        <w:t xml:space="preserve">name </w:t>
      </w:r>
      <w:r w:rsidRPr="005107ED">
        <w:rPr>
          <w:rFonts w:cstheme="minorHAnsi"/>
          <w:sz w:val="24"/>
          <w:szCs w:val="24"/>
        </w:rPr>
        <w:t>might be more interesting to students, faculty, staff?</w:t>
      </w: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r w:rsidRPr="005107ED">
        <w:rPr>
          <w:rFonts w:cstheme="minorHAnsi"/>
          <w:sz w:val="24"/>
          <w:szCs w:val="24"/>
        </w:rPr>
        <w:t xml:space="preserve">What ideas do you have for involving non-faculty campus employees or community members in an ethics across the curriculum program? </w:t>
      </w: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p>
    <w:p w:rsidR="00155B8D" w:rsidRPr="005107ED" w:rsidRDefault="00155B8D" w:rsidP="004B2FF5">
      <w:pPr>
        <w:spacing w:line="240" w:lineRule="auto"/>
        <w:contextualSpacing/>
        <w:rPr>
          <w:rFonts w:cstheme="minorHAnsi"/>
          <w:sz w:val="24"/>
          <w:szCs w:val="24"/>
        </w:rPr>
      </w:pPr>
      <w:r w:rsidRPr="005107ED">
        <w:rPr>
          <w:rFonts w:cstheme="minorHAnsi"/>
          <w:sz w:val="24"/>
          <w:szCs w:val="24"/>
        </w:rPr>
        <w:t xml:space="preserve">In coming years, how public/community facing ought the CFE aspire to be? At present, the CFE focuses its efforts almost entirely in-house. Is </w:t>
      </w:r>
      <w:r w:rsidR="009C7397" w:rsidRPr="005107ED">
        <w:rPr>
          <w:rFonts w:cstheme="minorHAnsi"/>
          <w:sz w:val="24"/>
          <w:szCs w:val="24"/>
        </w:rPr>
        <w:t xml:space="preserve">that </w:t>
      </w:r>
      <w:r w:rsidRPr="005107ED">
        <w:rPr>
          <w:rFonts w:cstheme="minorHAnsi"/>
          <w:sz w:val="24"/>
          <w:szCs w:val="24"/>
        </w:rPr>
        <w:t xml:space="preserve">problematic or appropriate? Why? </w:t>
      </w: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p w:rsidR="00257D8D" w:rsidRPr="005107ED" w:rsidRDefault="00257D8D" w:rsidP="004B2FF5">
      <w:pPr>
        <w:spacing w:line="240" w:lineRule="auto"/>
        <w:contextualSpacing/>
        <w:rPr>
          <w:rFonts w:cstheme="minorHAnsi"/>
          <w:sz w:val="24"/>
          <w:szCs w:val="24"/>
        </w:rPr>
      </w:pPr>
    </w:p>
    <w:sectPr w:rsidR="00257D8D" w:rsidRPr="005107ED" w:rsidSect="00137C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24" w:rsidRDefault="00A46024" w:rsidP="000D4D6E">
      <w:pPr>
        <w:spacing w:after="0" w:line="240" w:lineRule="auto"/>
      </w:pPr>
      <w:r>
        <w:separator/>
      </w:r>
    </w:p>
  </w:endnote>
  <w:endnote w:type="continuationSeparator" w:id="0">
    <w:p w:rsidR="00A46024" w:rsidRDefault="00A46024" w:rsidP="000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38275"/>
      <w:docPartObj>
        <w:docPartGallery w:val="Page Numbers (Bottom of Page)"/>
        <w:docPartUnique/>
      </w:docPartObj>
    </w:sdtPr>
    <w:sdtEndPr>
      <w:rPr>
        <w:rFonts w:ascii="Times New Roman" w:hAnsi="Times New Roman" w:cs="Times New Roman"/>
        <w:noProof/>
        <w:sz w:val="24"/>
        <w:szCs w:val="24"/>
      </w:rPr>
    </w:sdtEndPr>
    <w:sdtContent>
      <w:p w:rsidR="00137CA7" w:rsidRPr="002A5386" w:rsidRDefault="00137CA7">
        <w:pPr>
          <w:pStyle w:val="Footer"/>
          <w:jc w:val="center"/>
          <w:rPr>
            <w:rFonts w:ascii="Times New Roman" w:hAnsi="Times New Roman" w:cs="Times New Roman"/>
            <w:sz w:val="24"/>
            <w:szCs w:val="24"/>
          </w:rPr>
        </w:pPr>
        <w:r w:rsidRPr="002A5386">
          <w:rPr>
            <w:rFonts w:ascii="Times New Roman" w:hAnsi="Times New Roman" w:cs="Times New Roman"/>
            <w:sz w:val="24"/>
            <w:szCs w:val="24"/>
          </w:rPr>
          <w:fldChar w:fldCharType="begin"/>
        </w:r>
        <w:r w:rsidRPr="002A5386">
          <w:rPr>
            <w:rFonts w:ascii="Times New Roman" w:hAnsi="Times New Roman" w:cs="Times New Roman"/>
            <w:sz w:val="24"/>
            <w:szCs w:val="24"/>
          </w:rPr>
          <w:instrText xml:space="preserve"> PAGE   \* MERGEFORMAT </w:instrText>
        </w:r>
        <w:r w:rsidRPr="002A5386">
          <w:rPr>
            <w:rFonts w:ascii="Times New Roman" w:hAnsi="Times New Roman" w:cs="Times New Roman"/>
            <w:sz w:val="24"/>
            <w:szCs w:val="24"/>
          </w:rPr>
          <w:fldChar w:fldCharType="separate"/>
        </w:r>
        <w:r w:rsidR="00A46024">
          <w:rPr>
            <w:rFonts w:ascii="Times New Roman" w:hAnsi="Times New Roman" w:cs="Times New Roman"/>
            <w:noProof/>
            <w:sz w:val="24"/>
            <w:szCs w:val="24"/>
          </w:rPr>
          <w:t>1</w:t>
        </w:r>
        <w:r w:rsidRPr="002A5386">
          <w:rPr>
            <w:rFonts w:ascii="Times New Roman" w:hAnsi="Times New Roman" w:cs="Times New Roman"/>
            <w:noProof/>
            <w:sz w:val="24"/>
            <w:szCs w:val="24"/>
          </w:rPr>
          <w:fldChar w:fldCharType="end"/>
        </w:r>
      </w:p>
    </w:sdtContent>
  </w:sdt>
  <w:p w:rsidR="00137CA7" w:rsidRDefault="0013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24" w:rsidRDefault="00A46024" w:rsidP="000D4D6E">
      <w:pPr>
        <w:spacing w:after="0" w:line="240" w:lineRule="auto"/>
      </w:pPr>
      <w:r>
        <w:separator/>
      </w:r>
    </w:p>
  </w:footnote>
  <w:footnote w:type="continuationSeparator" w:id="0">
    <w:p w:rsidR="00A46024" w:rsidRDefault="00A46024" w:rsidP="000D4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825"/>
    <w:multiLevelType w:val="hybridMultilevel"/>
    <w:tmpl w:val="DC2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FEB"/>
    <w:multiLevelType w:val="hybridMultilevel"/>
    <w:tmpl w:val="D7E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471"/>
    <w:multiLevelType w:val="hybridMultilevel"/>
    <w:tmpl w:val="68B66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07A"/>
    <w:multiLevelType w:val="hybridMultilevel"/>
    <w:tmpl w:val="C99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3AEB"/>
    <w:multiLevelType w:val="hybridMultilevel"/>
    <w:tmpl w:val="03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14455"/>
    <w:multiLevelType w:val="hybridMultilevel"/>
    <w:tmpl w:val="7290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4E4A24"/>
    <w:multiLevelType w:val="hybridMultilevel"/>
    <w:tmpl w:val="0EF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1378"/>
    <w:multiLevelType w:val="hybridMultilevel"/>
    <w:tmpl w:val="8E4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F5C90"/>
    <w:multiLevelType w:val="hybridMultilevel"/>
    <w:tmpl w:val="B8D2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C420B"/>
    <w:multiLevelType w:val="hybridMultilevel"/>
    <w:tmpl w:val="DBA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02553"/>
    <w:multiLevelType w:val="hybridMultilevel"/>
    <w:tmpl w:val="27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B6DE0"/>
    <w:multiLevelType w:val="hybridMultilevel"/>
    <w:tmpl w:val="F01E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B4449"/>
    <w:multiLevelType w:val="hybridMultilevel"/>
    <w:tmpl w:val="C9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0702C"/>
    <w:multiLevelType w:val="hybridMultilevel"/>
    <w:tmpl w:val="108E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B6B9D"/>
    <w:multiLevelType w:val="hybridMultilevel"/>
    <w:tmpl w:val="61209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B7B48"/>
    <w:multiLevelType w:val="hybridMultilevel"/>
    <w:tmpl w:val="8E2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80809"/>
    <w:multiLevelType w:val="hybridMultilevel"/>
    <w:tmpl w:val="DEE0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46644"/>
    <w:multiLevelType w:val="hybridMultilevel"/>
    <w:tmpl w:val="3D66E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C51FD"/>
    <w:multiLevelType w:val="hybridMultilevel"/>
    <w:tmpl w:val="5A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83672"/>
    <w:multiLevelType w:val="hybridMultilevel"/>
    <w:tmpl w:val="ED044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A2899"/>
    <w:multiLevelType w:val="hybridMultilevel"/>
    <w:tmpl w:val="7FF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3"/>
  </w:num>
  <w:num w:numId="6">
    <w:abstractNumId w:val="14"/>
  </w:num>
  <w:num w:numId="7">
    <w:abstractNumId w:val="0"/>
  </w:num>
  <w:num w:numId="8">
    <w:abstractNumId w:val="2"/>
  </w:num>
  <w:num w:numId="9">
    <w:abstractNumId w:val="18"/>
  </w:num>
  <w:num w:numId="10">
    <w:abstractNumId w:val="16"/>
  </w:num>
  <w:num w:numId="11">
    <w:abstractNumId w:val="11"/>
  </w:num>
  <w:num w:numId="12">
    <w:abstractNumId w:val="17"/>
  </w:num>
  <w:num w:numId="13">
    <w:abstractNumId w:val="8"/>
  </w:num>
  <w:num w:numId="14">
    <w:abstractNumId w:val="1"/>
  </w:num>
  <w:num w:numId="15">
    <w:abstractNumId w:val="19"/>
  </w:num>
  <w:num w:numId="16">
    <w:abstractNumId w:val="12"/>
  </w:num>
  <w:num w:numId="17">
    <w:abstractNumId w:val="20"/>
  </w:num>
  <w:num w:numId="18">
    <w:abstractNumId w:val="6"/>
  </w:num>
  <w:num w:numId="19">
    <w:abstractNumId w:val="15"/>
  </w:num>
  <w:num w:numId="20">
    <w:abstractNumId w:val="7"/>
  </w:num>
  <w:num w:numId="2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40"/>
    <w:rsid w:val="000069DF"/>
    <w:rsid w:val="0003223E"/>
    <w:rsid w:val="0003643B"/>
    <w:rsid w:val="00073E6F"/>
    <w:rsid w:val="00075C5B"/>
    <w:rsid w:val="0009107D"/>
    <w:rsid w:val="00094B73"/>
    <w:rsid w:val="000A169E"/>
    <w:rsid w:val="000A3337"/>
    <w:rsid w:val="000B5B43"/>
    <w:rsid w:val="000D4D6E"/>
    <w:rsid w:val="000D60AF"/>
    <w:rsid w:val="000E62B4"/>
    <w:rsid w:val="00110A0C"/>
    <w:rsid w:val="00137CA7"/>
    <w:rsid w:val="0015548D"/>
    <w:rsid w:val="00155B8D"/>
    <w:rsid w:val="001765F9"/>
    <w:rsid w:val="00177C05"/>
    <w:rsid w:val="00183079"/>
    <w:rsid w:val="001A34F5"/>
    <w:rsid w:val="001A7F77"/>
    <w:rsid w:val="001B0598"/>
    <w:rsid w:val="001B46A0"/>
    <w:rsid w:val="001C264A"/>
    <w:rsid w:val="00211B56"/>
    <w:rsid w:val="002138AB"/>
    <w:rsid w:val="002177BF"/>
    <w:rsid w:val="0023015B"/>
    <w:rsid w:val="00233CE4"/>
    <w:rsid w:val="002464A1"/>
    <w:rsid w:val="00251DF6"/>
    <w:rsid w:val="00256603"/>
    <w:rsid w:val="00257D8D"/>
    <w:rsid w:val="00281FC9"/>
    <w:rsid w:val="002A5386"/>
    <w:rsid w:val="002A7D0F"/>
    <w:rsid w:val="002C2C8D"/>
    <w:rsid w:val="002C500E"/>
    <w:rsid w:val="002C5985"/>
    <w:rsid w:val="002C70BD"/>
    <w:rsid w:val="00301C8C"/>
    <w:rsid w:val="00305AFF"/>
    <w:rsid w:val="00313560"/>
    <w:rsid w:val="003236DD"/>
    <w:rsid w:val="00335AAA"/>
    <w:rsid w:val="0035430C"/>
    <w:rsid w:val="00360873"/>
    <w:rsid w:val="00376E87"/>
    <w:rsid w:val="00377E87"/>
    <w:rsid w:val="00382D21"/>
    <w:rsid w:val="003C4447"/>
    <w:rsid w:val="003C7FED"/>
    <w:rsid w:val="003E5A00"/>
    <w:rsid w:val="004111E4"/>
    <w:rsid w:val="00422C2A"/>
    <w:rsid w:val="0042461D"/>
    <w:rsid w:val="00430935"/>
    <w:rsid w:val="00440F8A"/>
    <w:rsid w:val="00446B76"/>
    <w:rsid w:val="0045162A"/>
    <w:rsid w:val="004603B6"/>
    <w:rsid w:val="0047013F"/>
    <w:rsid w:val="00470900"/>
    <w:rsid w:val="00485316"/>
    <w:rsid w:val="0049565A"/>
    <w:rsid w:val="004A603A"/>
    <w:rsid w:val="004B2FF5"/>
    <w:rsid w:val="004C4579"/>
    <w:rsid w:val="004C784F"/>
    <w:rsid w:val="004F5874"/>
    <w:rsid w:val="005107ED"/>
    <w:rsid w:val="005175B5"/>
    <w:rsid w:val="00520B7E"/>
    <w:rsid w:val="00534987"/>
    <w:rsid w:val="00536C26"/>
    <w:rsid w:val="00582ECE"/>
    <w:rsid w:val="005E0495"/>
    <w:rsid w:val="005E3244"/>
    <w:rsid w:val="00615545"/>
    <w:rsid w:val="006206CB"/>
    <w:rsid w:val="006209E7"/>
    <w:rsid w:val="00630C34"/>
    <w:rsid w:val="00642B72"/>
    <w:rsid w:val="00652D2E"/>
    <w:rsid w:val="00662FC3"/>
    <w:rsid w:val="00680A3B"/>
    <w:rsid w:val="006A606E"/>
    <w:rsid w:val="006C5AF2"/>
    <w:rsid w:val="006D0BB2"/>
    <w:rsid w:val="006D3171"/>
    <w:rsid w:val="006D5073"/>
    <w:rsid w:val="006E785B"/>
    <w:rsid w:val="006F6C6E"/>
    <w:rsid w:val="007161D0"/>
    <w:rsid w:val="007304D7"/>
    <w:rsid w:val="007516E6"/>
    <w:rsid w:val="00764D18"/>
    <w:rsid w:val="00780567"/>
    <w:rsid w:val="00781D41"/>
    <w:rsid w:val="007910E6"/>
    <w:rsid w:val="00793D97"/>
    <w:rsid w:val="007959B5"/>
    <w:rsid w:val="00795A1E"/>
    <w:rsid w:val="00796AB2"/>
    <w:rsid w:val="007A4896"/>
    <w:rsid w:val="007B4B2C"/>
    <w:rsid w:val="007D0D2C"/>
    <w:rsid w:val="007E135A"/>
    <w:rsid w:val="007E405A"/>
    <w:rsid w:val="007E59E0"/>
    <w:rsid w:val="008003AE"/>
    <w:rsid w:val="0081330C"/>
    <w:rsid w:val="0081575F"/>
    <w:rsid w:val="00830401"/>
    <w:rsid w:val="0085589E"/>
    <w:rsid w:val="00885388"/>
    <w:rsid w:val="00912F77"/>
    <w:rsid w:val="00915CB8"/>
    <w:rsid w:val="00922EB8"/>
    <w:rsid w:val="009341EE"/>
    <w:rsid w:val="00943A3A"/>
    <w:rsid w:val="009463B3"/>
    <w:rsid w:val="009641AA"/>
    <w:rsid w:val="00970740"/>
    <w:rsid w:val="00975F1A"/>
    <w:rsid w:val="00982A90"/>
    <w:rsid w:val="009B2716"/>
    <w:rsid w:val="009C39B7"/>
    <w:rsid w:val="009C7397"/>
    <w:rsid w:val="00A029AB"/>
    <w:rsid w:val="00A063E3"/>
    <w:rsid w:val="00A46024"/>
    <w:rsid w:val="00A66613"/>
    <w:rsid w:val="00A70B24"/>
    <w:rsid w:val="00A77F1C"/>
    <w:rsid w:val="00A92CE1"/>
    <w:rsid w:val="00A938A2"/>
    <w:rsid w:val="00AA7CF8"/>
    <w:rsid w:val="00AD730D"/>
    <w:rsid w:val="00AE45EC"/>
    <w:rsid w:val="00AF6F6D"/>
    <w:rsid w:val="00B02BCE"/>
    <w:rsid w:val="00B12E25"/>
    <w:rsid w:val="00B23E21"/>
    <w:rsid w:val="00B248EF"/>
    <w:rsid w:val="00B25000"/>
    <w:rsid w:val="00B3499D"/>
    <w:rsid w:val="00B37EF9"/>
    <w:rsid w:val="00B74F91"/>
    <w:rsid w:val="00B76AF5"/>
    <w:rsid w:val="00BA7669"/>
    <w:rsid w:val="00BC102E"/>
    <w:rsid w:val="00BE5482"/>
    <w:rsid w:val="00BF1BA1"/>
    <w:rsid w:val="00BF2AB7"/>
    <w:rsid w:val="00C02082"/>
    <w:rsid w:val="00C068F3"/>
    <w:rsid w:val="00C074C6"/>
    <w:rsid w:val="00C12900"/>
    <w:rsid w:val="00C150B2"/>
    <w:rsid w:val="00C608AF"/>
    <w:rsid w:val="00C70927"/>
    <w:rsid w:val="00C845FD"/>
    <w:rsid w:val="00C95CE0"/>
    <w:rsid w:val="00C95CE6"/>
    <w:rsid w:val="00CA7E63"/>
    <w:rsid w:val="00CB5233"/>
    <w:rsid w:val="00CE01AF"/>
    <w:rsid w:val="00D2115E"/>
    <w:rsid w:val="00D2168A"/>
    <w:rsid w:val="00D30231"/>
    <w:rsid w:val="00D654D7"/>
    <w:rsid w:val="00D74143"/>
    <w:rsid w:val="00D80B7A"/>
    <w:rsid w:val="00DA0882"/>
    <w:rsid w:val="00DD3495"/>
    <w:rsid w:val="00DE0C62"/>
    <w:rsid w:val="00DE505E"/>
    <w:rsid w:val="00DF56A1"/>
    <w:rsid w:val="00E021BA"/>
    <w:rsid w:val="00E13F6C"/>
    <w:rsid w:val="00E23749"/>
    <w:rsid w:val="00E43094"/>
    <w:rsid w:val="00E47600"/>
    <w:rsid w:val="00E505FF"/>
    <w:rsid w:val="00E54C72"/>
    <w:rsid w:val="00E65372"/>
    <w:rsid w:val="00E96891"/>
    <w:rsid w:val="00EA3133"/>
    <w:rsid w:val="00EB3928"/>
    <w:rsid w:val="00EB7D2C"/>
    <w:rsid w:val="00ED1812"/>
    <w:rsid w:val="00EE5500"/>
    <w:rsid w:val="00F02990"/>
    <w:rsid w:val="00F20D67"/>
    <w:rsid w:val="00F30FEC"/>
    <w:rsid w:val="00F529EF"/>
    <w:rsid w:val="00F658D3"/>
    <w:rsid w:val="00FA02CF"/>
    <w:rsid w:val="00FA0E5A"/>
    <w:rsid w:val="00FA58DE"/>
    <w:rsid w:val="00FC1ABF"/>
    <w:rsid w:val="00FE4149"/>
    <w:rsid w:val="00FF095B"/>
    <w:rsid w:val="00FF0BD6"/>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A0B2-99BA-41DB-8960-B18537C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C6"/>
    <w:pPr>
      <w:ind w:left="720"/>
      <w:contextualSpacing/>
    </w:pPr>
  </w:style>
  <w:style w:type="paragraph" w:styleId="FootnoteText">
    <w:name w:val="footnote text"/>
    <w:basedOn w:val="Normal"/>
    <w:link w:val="FootnoteTextChar"/>
    <w:uiPriority w:val="99"/>
    <w:semiHidden/>
    <w:unhideWhenUsed/>
    <w:rsid w:val="000D4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D6E"/>
    <w:rPr>
      <w:sz w:val="20"/>
      <w:szCs w:val="20"/>
    </w:rPr>
  </w:style>
  <w:style w:type="character" w:styleId="FootnoteReference">
    <w:name w:val="footnote reference"/>
    <w:basedOn w:val="DefaultParagraphFont"/>
    <w:uiPriority w:val="99"/>
    <w:semiHidden/>
    <w:unhideWhenUsed/>
    <w:rsid w:val="000D4D6E"/>
    <w:rPr>
      <w:vertAlign w:val="superscript"/>
    </w:rPr>
  </w:style>
  <w:style w:type="character" w:styleId="Strong">
    <w:name w:val="Strong"/>
    <w:basedOn w:val="DefaultParagraphFont"/>
    <w:uiPriority w:val="22"/>
    <w:qFormat/>
    <w:rsid w:val="00615545"/>
    <w:rPr>
      <w:b/>
      <w:bCs/>
    </w:rPr>
  </w:style>
  <w:style w:type="paragraph" w:styleId="Header">
    <w:name w:val="header"/>
    <w:basedOn w:val="Normal"/>
    <w:link w:val="HeaderChar"/>
    <w:uiPriority w:val="99"/>
    <w:unhideWhenUsed/>
    <w:rsid w:val="002A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86"/>
  </w:style>
  <w:style w:type="paragraph" w:styleId="Footer">
    <w:name w:val="footer"/>
    <w:basedOn w:val="Normal"/>
    <w:link w:val="FooterChar"/>
    <w:uiPriority w:val="99"/>
    <w:unhideWhenUsed/>
    <w:rsid w:val="002A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86"/>
  </w:style>
  <w:style w:type="character" w:styleId="Hyperlink">
    <w:name w:val="Hyperlink"/>
    <w:basedOn w:val="DefaultParagraphFont"/>
    <w:uiPriority w:val="99"/>
    <w:unhideWhenUsed/>
    <w:rsid w:val="00642B72"/>
    <w:rPr>
      <w:color w:val="0563C1"/>
      <w:u w:val="single"/>
    </w:rPr>
  </w:style>
  <w:style w:type="paragraph" w:styleId="NormalWeb">
    <w:name w:val="Normal (Web)"/>
    <w:basedOn w:val="Normal"/>
    <w:uiPriority w:val="99"/>
    <w:semiHidden/>
    <w:unhideWhenUsed/>
    <w:rsid w:val="00642B72"/>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C84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5F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10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2373">
      <w:bodyDiv w:val="1"/>
      <w:marLeft w:val="0"/>
      <w:marRight w:val="0"/>
      <w:marTop w:val="0"/>
      <w:marBottom w:val="0"/>
      <w:divBdr>
        <w:top w:val="none" w:sz="0" w:space="0" w:color="auto"/>
        <w:left w:val="none" w:sz="0" w:space="0" w:color="auto"/>
        <w:bottom w:val="none" w:sz="0" w:space="0" w:color="auto"/>
        <w:right w:val="none" w:sz="0" w:space="0" w:color="auto"/>
      </w:divBdr>
    </w:div>
    <w:div w:id="1504710727">
      <w:bodyDiv w:val="1"/>
      <w:marLeft w:val="0"/>
      <w:marRight w:val="0"/>
      <w:marTop w:val="0"/>
      <w:marBottom w:val="0"/>
      <w:divBdr>
        <w:top w:val="none" w:sz="0" w:space="0" w:color="auto"/>
        <w:left w:val="none" w:sz="0" w:space="0" w:color="auto"/>
        <w:bottom w:val="none" w:sz="0" w:space="0" w:color="auto"/>
        <w:right w:val="none" w:sz="0" w:space="0" w:color="auto"/>
      </w:divBdr>
    </w:div>
    <w:div w:id="1718504138">
      <w:bodyDiv w:val="1"/>
      <w:marLeft w:val="0"/>
      <w:marRight w:val="0"/>
      <w:marTop w:val="0"/>
      <w:marBottom w:val="0"/>
      <w:divBdr>
        <w:top w:val="none" w:sz="0" w:space="0" w:color="auto"/>
        <w:left w:val="none" w:sz="0" w:space="0" w:color="auto"/>
        <w:bottom w:val="none" w:sz="0" w:space="0" w:color="auto"/>
        <w:right w:val="none" w:sz="0" w:space="0" w:color="auto"/>
      </w:divBdr>
    </w:div>
    <w:div w:id="1764104332">
      <w:bodyDiv w:val="1"/>
      <w:marLeft w:val="0"/>
      <w:marRight w:val="0"/>
      <w:marTop w:val="0"/>
      <w:marBottom w:val="0"/>
      <w:divBdr>
        <w:top w:val="none" w:sz="0" w:space="0" w:color="auto"/>
        <w:left w:val="none" w:sz="0" w:space="0" w:color="auto"/>
        <w:bottom w:val="none" w:sz="0" w:space="0" w:color="auto"/>
        <w:right w:val="none" w:sz="0" w:space="0" w:color="auto"/>
      </w:divBdr>
    </w:div>
    <w:div w:id="1930040375">
      <w:bodyDiv w:val="1"/>
      <w:marLeft w:val="0"/>
      <w:marRight w:val="0"/>
      <w:marTop w:val="0"/>
      <w:marBottom w:val="0"/>
      <w:divBdr>
        <w:top w:val="none" w:sz="0" w:space="0" w:color="auto"/>
        <w:left w:val="none" w:sz="0" w:space="0" w:color="auto"/>
        <w:bottom w:val="none" w:sz="0" w:space="0" w:color="auto"/>
        <w:right w:val="none" w:sz="0" w:space="0" w:color="auto"/>
      </w:divBdr>
    </w:div>
    <w:div w:id="2015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9560-697B-4C15-87C2-2D618FC6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Matthew</dc:creator>
  <cp:keywords/>
  <dc:description/>
  <cp:lastModifiedBy>Pierce, Elizabeth L.</cp:lastModifiedBy>
  <cp:revision>15</cp:revision>
  <dcterms:created xsi:type="dcterms:W3CDTF">2020-05-19T17:34:00Z</dcterms:created>
  <dcterms:modified xsi:type="dcterms:W3CDTF">2020-05-20T13:42:00Z</dcterms:modified>
</cp:coreProperties>
</file>